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506670A2" w14:textId="1E80F3E3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DOSTAWY </w:t>
      </w:r>
      <w:r w:rsidR="00393CAC">
        <w:rPr>
          <w:rFonts w:ascii="Calibri" w:eastAsia="Calibri" w:hAnsi="Calibri"/>
          <w:b/>
          <w:sz w:val="22"/>
          <w:szCs w:val="22"/>
        </w:rPr>
        <w:t xml:space="preserve">URZĄDZEŃ TYPU </w:t>
      </w:r>
      <w:r w:rsidR="00393CAC" w:rsidRPr="00393CAC">
        <w:rPr>
          <w:rFonts w:ascii="Calibri" w:eastAsia="Calibri" w:hAnsi="Calibri"/>
          <w:b/>
          <w:sz w:val="22"/>
          <w:szCs w:val="22"/>
        </w:rPr>
        <w:t>REACHSTACKER</w:t>
      </w:r>
      <w:r w:rsidR="003D2C60">
        <w:rPr>
          <w:rFonts w:ascii="Calibri" w:eastAsia="Calibri" w:hAnsi="Calibri"/>
          <w:b/>
          <w:sz w:val="22"/>
          <w:szCs w:val="22"/>
        </w:rPr>
        <w:t xml:space="preserve"> – WERSJA Z DNIA 25.02.2020</w:t>
      </w:r>
      <w:bookmarkStart w:id="0" w:name="_GoBack"/>
      <w:bookmarkEnd w:id="0"/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1A010DA2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Laude Smart Intermodal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BD7409" w:rsidRPr="00BD7409">
        <w:rPr>
          <w:rFonts w:ascii="Calibri" w:eastAsia="Calibri" w:hAnsi="Calibri"/>
          <w:sz w:val="22"/>
          <w:szCs w:val="22"/>
        </w:rPr>
        <w:t xml:space="preserve">1173770,00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Wykonawcą/Dostawcą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4B322E5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Przedmiot umowy</w:t>
      </w:r>
    </w:p>
    <w:p w14:paraId="5F27B84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D5A0B7" w14:textId="6979B59A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Dostawca zobowiązuje się do wytworzenia i dostarczenia </w:t>
      </w:r>
      <w:r w:rsidR="00393CAC" w:rsidRPr="00393CAC">
        <w:rPr>
          <w:rFonts w:ascii="Calibri" w:eastAsia="Calibri" w:hAnsi="Calibri"/>
          <w:sz w:val="22"/>
          <w:szCs w:val="22"/>
        </w:rPr>
        <w:t xml:space="preserve">4 </w:t>
      </w:r>
      <w:r w:rsidR="00087715">
        <w:rPr>
          <w:rFonts w:ascii="Calibri" w:eastAsia="Calibri" w:hAnsi="Calibri"/>
          <w:sz w:val="22"/>
          <w:szCs w:val="22"/>
        </w:rPr>
        <w:t xml:space="preserve">(czterech) </w:t>
      </w:r>
      <w:r w:rsidR="00393CAC" w:rsidRPr="00393CAC">
        <w:rPr>
          <w:rFonts w:ascii="Calibri" w:eastAsia="Calibri" w:hAnsi="Calibri"/>
          <w:sz w:val="22"/>
          <w:szCs w:val="22"/>
        </w:rPr>
        <w:t>sztuk urządzeń dźwigowych typu reachstacker</w:t>
      </w:r>
      <w:r>
        <w:rPr>
          <w:rFonts w:ascii="Calibri" w:eastAsia="Calibri" w:hAnsi="Calibri"/>
          <w:sz w:val="22"/>
          <w:szCs w:val="22"/>
        </w:rPr>
        <w:t>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 xml:space="preserve">zobowiązuje się do </w:t>
      </w:r>
      <w:r w:rsidR="00FC74FA" w:rsidRPr="00DF73EA">
        <w:rPr>
          <w:rFonts w:ascii="Calibri" w:eastAsia="Calibri" w:hAnsi="Calibri"/>
          <w:bCs/>
          <w:sz w:val="22"/>
          <w:szCs w:val="22"/>
        </w:rPr>
        <w:t xml:space="preserve">jej </w:t>
      </w:r>
      <w:r w:rsidR="00FC74FA">
        <w:rPr>
          <w:rFonts w:ascii="Calibri" w:eastAsia="Calibri" w:hAnsi="Calibri"/>
          <w:bCs/>
          <w:sz w:val="22"/>
          <w:szCs w:val="22"/>
        </w:rPr>
        <w:t>odebrania</w:t>
      </w:r>
      <w:r>
        <w:rPr>
          <w:rFonts w:ascii="Calibri" w:eastAsia="Calibri" w:hAnsi="Calibri"/>
          <w:bCs/>
          <w:sz w:val="22"/>
          <w:szCs w:val="22"/>
        </w:rPr>
        <w:t xml:space="preserve"> i zapłacenia ceny.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6F7662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Parametry przedmiotu umowy</w:t>
      </w:r>
    </w:p>
    <w:p w14:paraId="2BBE5DB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11D144F" w14:textId="44AFBE70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Dostarczon</w:t>
      </w:r>
      <w:r w:rsidR="00393CAC">
        <w:rPr>
          <w:rFonts w:eastAsia="SimSun"/>
        </w:rPr>
        <w:t>e</w:t>
      </w:r>
      <w:r>
        <w:rPr>
          <w:rFonts w:eastAsia="SimSun"/>
        </w:rPr>
        <w:t xml:space="preserve"> </w:t>
      </w:r>
      <w:r w:rsidR="00393CAC" w:rsidRPr="00393CAC">
        <w:rPr>
          <w:rFonts w:eastAsia="SimSun"/>
        </w:rPr>
        <w:t>urządze</w:t>
      </w:r>
      <w:r w:rsidR="00393CAC">
        <w:rPr>
          <w:rFonts w:eastAsia="SimSun"/>
        </w:rPr>
        <w:t>nia</w:t>
      </w:r>
      <w:r w:rsidR="00393CAC" w:rsidRPr="00393CAC">
        <w:rPr>
          <w:rFonts w:eastAsia="SimSun"/>
        </w:rPr>
        <w:t xml:space="preserve"> dźwigow</w:t>
      </w:r>
      <w:r w:rsidR="00393CAC">
        <w:rPr>
          <w:rFonts w:eastAsia="SimSun"/>
        </w:rPr>
        <w:t>e</w:t>
      </w:r>
      <w:r w:rsidR="00393CAC" w:rsidRPr="00393CAC">
        <w:rPr>
          <w:rFonts w:eastAsia="SimSun"/>
        </w:rPr>
        <w:t xml:space="preserve"> typu reachstacker</w:t>
      </w:r>
      <w:r>
        <w:rPr>
          <w:rFonts w:eastAsia="SimSun"/>
        </w:rPr>
        <w:t xml:space="preserve"> powinn</w:t>
      </w:r>
      <w:r w:rsidR="00393CAC">
        <w:rPr>
          <w:rFonts w:eastAsia="SimSun"/>
        </w:rPr>
        <w:t>y</w:t>
      </w:r>
      <w:r>
        <w:rPr>
          <w:rFonts w:eastAsia="SimSun"/>
        </w:rPr>
        <w:t xml:space="preserve"> spełniać wymagania przedstawione w ofercie złożonej w zapytaniu ofertowym o numerze referencyjnym nr </w:t>
      </w:r>
      <w:r w:rsidR="00393CAC">
        <w:rPr>
          <w:rFonts w:eastAsia="Arial Unicode MS"/>
          <w:b/>
          <w:bCs/>
        </w:rPr>
        <w:t>01/2020/proj.BC/3.2/POIS</w:t>
      </w:r>
      <w:r w:rsidR="00393CAC" w:rsidRPr="00DF73EA" w:rsidDel="00393CAC">
        <w:rPr>
          <w:rFonts w:eastAsia="SimSun"/>
          <w:b/>
          <w:bCs/>
        </w:rPr>
        <w:t xml:space="preserve"> </w:t>
      </w:r>
    </w:p>
    <w:p w14:paraId="13A0FFB5" w14:textId="49E57835" w:rsidR="00D72378" w:rsidRDefault="00393CAC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U</w:t>
      </w:r>
      <w:r w:rsidRPr="00393CAC">
        <w:rPr>
          <w:rFonts w:eastAsia="SimSun"/>
        </w:rPr>
        <w:t xml:space="preserve">rządzenia dźwigowe typu reachstacker </w:t>
      </w:r>
      <w:r w:rsidR="00C00C91">
        <w:rPr>
          <w:rFonts w:eastAsia="SimSun"/>
        </w:rPr>
        <w:t xml:space="preserve"> mus</w:t>
      </w:r>
      <w:r>
        <w:rPr>
          <w:rFonts w:eastAsia="SimSun"/>
        </w:rPr>
        <w:t>zą</w:t>
      </w:r>
      <w:r w:rsidR="00C00C91">
        <w:rPr>
          <w:rFonts w:eastAsia="SimSun"/>
        </w:rPr>
        <w:t xml:space="preserve"> być wykonana zgodnie ze schematem stanowiącym Załącznik nr 1 do Umowy oraz ze specyfikacją techniczną stanowiącą Załącznik nr 2 do Umowy, które są integralną częścią Umowy.</w:t>
      </w:r>
    </w:p>
    <w:p w14:paraId="227E708A" w14:textId="01EF0778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6886808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Miejsce i koszty dostaw</w:t>
      </w:r>
    </w:p>
    <w:p w14:paraId="0AFCD35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400E0BD" w14:textId="0DEB8D44" w:rsidR="00D72378" w:rsidRPr="008655F9" w:rsidRDefault="00C00C91" w:rsidP="008655F9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rFonts w:eastAsia="Arial Unicode MS"/>
          <w:shd w:val="clear" w:color="auto" w:fill="FFFFFF"/>
        </w:rPr>
      </w:pPr>
      <w:r>
        <w:rPr>
          <w:rFonts w:eastAsia="SimSun"/>
        </w:rPr>
        <w:t xml:space="preserve">Wykonawca zobowiązany jest do dostarczenia przedmiotu zamówienia do: </w:t>
      </w:r>
      <w:r w:rsidR="008655F9" w:rsidRPr="008655F9">
        <w:rPr>
          <w:rFonts w:eastAsia="SimSun"/>
        </w:rPr>
        <w:t>Radzymin</w:t>
      </w:r>
      <w:r w:rsidR="008655F9">
        <w:rPr>
          <w:rFonts w:eastAsia="SimSun"/>
        </w:rPr>
        <w:t>a</w:t>
      </w:r>
      <w:r w:rsidR="008655F9" w:rsidRPr="008655F9">
        <w:rPr>
          <w:rFonts w:eastAsia="SimSun"/>
        </w:rPr>
        <w:t xml:space="preserve"> lub Warszaw</w:t>
      </w:r>
      <w:r w:rsidR="008655F9">
        <w:rPr>
          <w:rFonts w:eastAsia="SimSun"/>
        </w:rPr>
        <w:t>y</w:t>
      </w:r>
      <w:r w:rsidR="008655F9" w:rsidRPr="008655F9">
        <w:rPr>
          <w:rFonts w:eastAsia="SimSun"/>
        </w:rPr>
        <w:t xml:space="preserve"> Główn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 xml:space="preserve"> Towarow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>, lub Lasocic, lub Buska-Zdroju,</w:t>
      </w:r>
      <w:r w:rsidR="0099020F">
        <w:rPr>
          <w:rFonts w:eastAsia="SimSun"/>
        </w:rPr>
        <w:t xml:space="preserve"> lub</w:t>
      </w:r>
      <w:r w:rsidR="008655F9" w:rsidRPr="008655F9">
        <w:rPr>
          <w:rFonts w:eastAsia="SimSun"/>
        </w:rPr>
        <w:t xml:space="preserve"> Gdyni Port</w:t>
      </w:r>
      <w:r w:rsidR="0099020F">
        <w:rPr>
          <w:rFonts w:eastAsia="SimSun"/>
        </w:rPr>
        <w:t>u</w:t>
      </w:r>
      <w:r w:rsidR="008655F9" w:rsidRPr="008655F9">
        <w:rPr>
          <w:rFonts w:eastAsia="SimSun"/>
        </w:rPr>
        <w:t>. Każde z zamówionych urządzeń może być dostarczone do innej lokalizacji co zostanie uzgodnione z Wykonawcą</w:t>
      </w:r>
      <w:r w:rsidR="006E5A3B">
        <w:rPr>
          <w:rFonts w:eastAsia="SimSun"/>
        </w:rPr>
        <w:t xml:space="preserve"> w terminie minimum 30 dni przed planowanym terminem dostawy</w:t>
      </w:r>
      <w:r w:rsidR="008655F9" w:rsidRPr="008655F9">
        <w:rPr>
          <w:rFonts w:eastAsia="SimSun"/>
        </w:rPr>
        <w:t xml:space="preserve">. </w:t>
      </w:r>
    </w:p>
    <w:p w14:paraId="30BA7845" w14:textId="77777777" w:rsidR="00D72378" w:rsidRDefault="00D72378" w:rsidP="00DF73EA">
      <w:pPr>
        <w:tabs>
          <w:tab w:val="left" w:pos="6548"/>
          <w:tab w:val="left" w:pos="8185"/>
        </w:tabs>
        <w:suppressAutoHyphens/>
        <w:ind w:left="426" w:right="65" w:hanging="426"/>
        <w:rPr>
          <w:rFonts w:ascii="Calibri" w:eastAsia="Arial Unicode MS" w:hAnsi="Calibri"/>
          <w:shd w:val="clear" w:color="auto" w:fill="FFFFFF"/>
        </w:rPr>
      </w:pPr>
    </w:p>
    <w:p w14:paraId="7CA4BF16" w14:textId="7D38BB85" w:rsidR="00D72378" w:rsidRDefault="00C00C91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lastRenderedPageBreak/>
        <w:t>Dostawa ma obejmować transport do miejsca przeznaczenia.</w:t>
      </w:r>
      <w:r>
        <w:t xml:space="preserve"> </w:t>
      </w:r>
      <w:r>
        <w:rPr>
          <w:shd w:val="clear" w:color="auto" w:fill="FFFFFF"/>
        </w:rPr>
        <w:t xml:space="preserve">Koszty transportu </w:t>
      </w:r>
      <w:r w:rsidR="008655F9">
        <w:rPr>
          <w:shd w:val="clear" w:color="auto" w:fill="FFFFFF"/>
        </w:rPr>
        <w:t>urządzeń</w:t>
      </w:r>
      <w:r w:rsidR="008655F9" w:rsidRPr="00DF73EA">
        <w:rPr>
          <w:shd w:val="clear" w:color="auto" w:fill="FFFFFF"/>
        </w:rPr>
        <w:t xml:space="preserve"> </w:t>
      </w:r>
      <w:r w:rsidRPr="00DF73EA">
        <w:rPr>
          <w:shd w:val="clear" w:color="auto" w:fill="FFFFFF"/>
        </w:rPr>
        <w:t>d</w:t>
      </w:r>
      <w:r>
        <w:rPr>
          <w:shd w:val="clear" w:color="auto" w:fill="FFFFFF"/>
        </w:rPr>
        <w:t>o miejsca dostawy oraz jej ubezpieczenia na czas transportu obciążają Dostawcę.</w:t>
      </w:r>
    </w:p>
    <w:p w14:paraId="10197F1B" w14:textId="77777777" w:rsidR="00087715" w:rsidRPr="00087715" w:rsidRDefault="00087715" w:rsidP="00D71D9D">
      <w:pPr>
        <w:pStyle w:val="Akapitzlist"/>
        <w:rPr>
          <w:shd w:val="clear" w:color="auto" w:fill="FFFFFF"/>
        </w:rPr>
      </w:pPr>
    </w:p>
    <w:p w14:paraId="047ED0B6" w14:textId="028A88D5" w:rsidR="00087715" w:rsidRDefault="00087715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Wyładunek Urządzeń zostanie dokonany przez Dostawcę. Miejsce wyznaczone do wyładunku każdego Urządzenia winno spełniać wszelkie warunki do dokonania tej czynności, w tym w szczególności Zamawiający powinien zapewnić możliwość</w:t>
      </w:r>
      <w:r w:rsidR="006E5A3B">
        <w:rPr>
          <w:shd w:val="clear" w:color="auto" w:fill="FFFFFF"/>
        </w:rPr>
        <w:t xml:space="preserve"> bezpiecznego wjazdu na teren przedsiębiorstwa transportu przewożącego Urządzenie.</w:t>
      </w:r>
    </w:p>
    <w:p w14:paraId="5743AEE5" w14:textId="77777777" w:rsidR="00D72378" w:rsidRDefault="00D72378">
      <w:pPr>
        <w:pStyle w:val="Akapitzlist"/>
        <w:tabs>
          <w:tab w:val="left" w:pos="6548"/>
          <w:tab w:val="left" w:pos="8185"/>
        </w:tabs>
        <w:ind w:left="360" w:right="65"/>
        <w:rPr>
          <w:shd w:val="clear" w:color="auto" w:fill="FFFFFF"/>
        </w:rPr>
      </w:pPr>
    </w:p>
    <w:p w14:paraId="5A99636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0AA9E0A9" w14:textId="0CA92698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Termin realizacji dostaw</w:t>
      </w:r>
    </w:p>
    <w:p w14:paraId="321C673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2DD1C75" w14:textId="603FF0CB" w:rsidR="00DF73EA" w:rsidRDefault="00C00C91" w:rsidP="00DF73EA">
      <w:pPr>
        <w:pStyle w:val="Akapitzlist"/>
        <w:numPr>
          <w:ilvl w:val="0"/>
          <w:numId w:val="5"/>
        </w:numPr>
        <w:ind w:left="426" w:hanging="426"/>
      </w:pPr>
      <w:r>
        <w:t>Wykonawca zobowiązany jest do wykonania całości przedmiotu zamówienia/wykonania umowy w terminie …………………………. od dnia podpisania umowy/</w:t>
      </w:r>
      <w:r>
        <w:rPr>
          <w:i/>
          <w:iCs/>
        </w:rPr>
        <w:t>zostanie uzupełnione na podstawie oferty</w:t>
      </w:r>
      <w:r>
        <w:t>/.</w:t>
      </w:r>
    </w:p>
    <w:p w14:paraId="6E74EBEC" w14:textId="77777777" w:rsidR="00DF73EA" w:rsidRPr="00DF73EA" w:rsidRDefault="00DF73EA">
      <w:pPr>
        <w:pStyle w:val="Akapitzlist"/>
        <w:numPr>
          <w:ilvl w:val="0"/>
          <w:numId w:val="5"/>
        </w:numPr>
        <w:ind w:left="426" w:hanging="426"/>
        <w:rPr>
          <w:rFonts w:eastAsia="Times New Roman"/>
          <w:shd w:val="clear" w:color="auto" w:fill="FFFFFF"/>
        </w:rPr>
      </w:pPr>
      <w:r w:rsidRPr="00DF73EA">
        <w:t>Dostawa będzie zrealizowana w terminie wskazanym w ust. 1, zgodnie z procedurami odbiorowymi przewidzianymi w niniejszej umowie.</w:t>
      </w:r>
    </w:p>
    <w:p w14:paraId="4F6406F8" w14:textId="1CF0A005" w:rsidR="00D72378" w:rsidRPr="0099020F" w:rsidRDefault="00C00C91">
      <w:pPr>
        <w:pStyle w:val="Akapitzlist"/>
        <w:numPr>
          <w:ilvl w:val="0"/>
          <w:numId w:val="5"/>
        </w:numPr>
        <w:rPr>
          <w:rFonts w:eastAsia="Times New Roman"/>
          <w:shd w:val="clear" w:color="auto" w:fill="FFFFFF"/>
        </w:rPr>
      </w:pPr>
      <w:r w:rsidRPr="0099020F">
        <w:rPr>
          <w:rFonts w:eastAsia="Times New Roman"/>
          <w:shd w:val="clear" w:color="auto" w:fill="FFFFFF"/>
        </w:rPr>
        <w:t xml:space="preserve">Za dzień wykonania umowy </w:t>
      </w:r>
      <w:r w:rsidR="0099020F" w:rsidRPr="0099020F">
        <w:rPr>
          <w:rFonts w:eastAsia="Times New Roman"/>
          <w:shd w:val="clear" w:color="auto" w:fill="FFFFFF"/>
        </w:rPr>
        <w:t>przyjmuje się datę podpisania bezusterkowego protokołu odbioru końcowego ostatniego dostarczonego urządzenia typu reachstacker składającego się na przedmiot zamówienia</w:t>
      </w:r>
      <w:r w:rsidRPr="0099020F">
        <w:rPr>
          <w:rFonts w:eastAsia="Times New Roman"/>
          <w:shd w:val="clear" w:color="auto" w:fill="FFFFFF"/>
        </w:rPr>
        <w:t xml:space="preserve">, zgodnie z warunkami określonymi w treści umowy. </w:t>
      </w:r>
    </w:p>
    <w:p w14:paraId="4B6C389A" w14:textId="4F0DDFD5" w:rsidR="00D72378" w:rsidRDefault="00C00C91" w:rsidP="00DF73EA">
      <w:pPr>
        <w:pStyle w:val="Akapitzlist"/>
        <w:numPr>
          <w:ilvl w:val="0"/>
          <w:numId w:val="5"/>
        </w:numPr>
      </w:pPr>
      <w:r w:rsidRPr="00DF73EA">
        <w:rPr>
          <w:rFonts w:eastAsia="Times New Roman"/>
          <w:shd w:val="clear" w:color="auto" w:fill="FFFFFF"/>
        </w:rPr>
        <w:t>W przypadku przewidywanego opóźnienia w realizacji dostawy, Dostawca jest obowi</w:t>
      </w:r>
      <w:r>
        <w:rPr>
          <w:rFonts w:eastAsia="Times New Roman"/>
        </w:rPr>
        <w:t xml:space="preserve">ązany niezwłocznie poinformować Odbiorcę, przez wysłanie pocztą elektroniczną na adres </w:t>
      </w:r>
      <w:hyperlink r:id="rId7" w:history="1">
        <w:r w:rsidR="0099020F" w:rsidRPr="00DA6854">
          <w:rPr>
            <w:rStyle w:val="Hipercze"/>
            <w:rFonts w:eastAsia="Times New Roman"/>
          </w:rPr>
          <w:t>mieczyslaw.sedzikowski@atstorun.pl</w:t>
        </w:r>
      </w:hyperlink>
      <w:r w:rsidR="0099020F">
        <w:rPr>
          <w:rFonts w:eastAsia="Times New Roman"/>
        </w:rPr>
        <w:t xml:space="preserve"> </w:t>
      </w:r>
      <w:r>
        <w:rPr>
          <w:rFonts w:eastAsia="Times New Roman"/>
        </w:rPr>
        <w:t xml:space="preserve">, zawiadomienia o tym fakcie oraz o jego przyczynach, wskazując jednocześnie przewidywany nowy, możliwie najszybszy termin jej </w:t>
      </w:r>
      <w:r w:rsidRPr="00DF73EA">
        <w:rPr>
          <w:rFonts w:eastAsia="Times New Roman"/>
        </w:rPr>
        <w:t>realizacji</w:t>
      </w:r>
      <w:r>
        <w:t>.</w:t>
      </w:r>
    </w:p>
    <w:p w14:paraId="6250E031" w14:textId="158CB41B" w:rsidR="002B32AD" w:rsidRDefault="002B32AD" w:rsidP="00DF73EA">
      <w:pPr>
        <w:pStyle w:val="Akapitzlist"/>
        <w:numPr>
          <w:ilvl w:val="0"/>
          <w:numId w:val="5"/>
        </w:numPr>
      </w:pPr>
      <w:r>
        <w:rPr>
          <w:rFonts w:eastAsia="Times New Roman"/>
          <w:shd w:val="clear" w:color="auto" w:fill="FFFFFF"/>
        </w:rPr>
        <w:t>W przypadku wystąpienia siły wyższej w rozumieniu § 10 niniejszej umowy, termin wykonania umowy przez Dostawcę przesuwa się o tyle dni, ile trwała dana okoliczność, uniemożliwiająca wykonanie umowy</w:t>
      </w:r>
      <w:r w:rsidRPr="00D71D9D">
        <w:t>.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5</w:t>
      </w:r>
    </w:p>
    <w:p w14:paraId="57D1CF5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Odbiór techniczny przedmiotu umowy</w:t>
      </w:r>
    </w:p>
    <w:p w14:paraId="270B1BA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030F5F0" w14:textId="66A96F66" w:rsidR="00D72378" w:rsidRDefault="002B32AD">
      <w:pPr>
        <w:pStyle w:val="Akapitzlist"/>
        <w:numPr>
          <w:ilvl w:val="0"/>
          <w:numId w:val="13"/>
        </w:numPr>
        <w:ind w:left="426" w:hanging="426"/>
      </w:pPr>
      <w:r>
        <w:t xml:space="preserve">Po wyładunku każdego z Urządzeń, Odbiorca dokona jego odbioru technicznego i końcowego. </w:t>
      </w:r>
    </w:p>
    <w:p w14:paraId="2157E656" w14:textId="36204801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Odbiór techniczny </w:t>
      </w:r>
      <w:r w:rsidR="0099020F">
        <w:t xml:space="preserve">i końcowy </w:t>
      </w:r>
      <w:r w:rsidR="002B32AD">
        <w:t xml:space="preserve">każdego Urządzenia </w:t>
      </w:r>
      <w:r>
        <w:t xml:space="preserve">odbędzie się </w:t>
      </w:r>
      <w:r w:rsidR="002B32AD">
        <w:t xml:space="preserve">pod adresem uzgodnionym w trybie § 3 ust. 1 niniejszej umowy, przy udziale przedstawiciela Dostawcy i Zamawiającego. </w:t>
      </w:r>
    </w:p>
    <w:p w14:paraId="75DE6DB5" w14:textId="773A0EC5" w:rsidR="0099020F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Do </w:t>
      </w:r>
      <w:r w:rsidR="00EE7BD3">
        <w:t>U</w:t>
      </w:r>
      <w:r w:rsidR="007A77F8">
        <w:t xml:space="preserve">rządzeń </w:t>
      </w:r>
      <w:r>
        <w:t>zostaną dołączone wszystkie dokumenty wymagane przepisami prawa polskiego</w:t>
      </w:r>
      <w:r w:rsidR="00EE7BD3">
        <w:t xml:space="preserve"> tj.: instrukcja obsługi w języku polskim, instrukcja konserwacji w języku polskim, certyfikat zgodności CE w języku polskim, skrócony opis techniczny każdego Urządzenia</w:t>
      </w:r>
      <w:r w:rsidR="0099020F">
        <w:t>.</w:t>
      </w:r>
    </w:p>
    <w:p w14:paraId="274A4435" w14:textId="77777777" w:rsidR="00D72378" w:rsidRDefault="00C00C91" w:rsidP="007A77F8">
      <w:pPr>
        <w:pStyle w:val="Akapitzlist"/>
        <w:ind w:left="426"/>
      </w:pPr>
      <w:r>
        <w:t>Wymaga się, aby 1 komplet dokumentów przetłumaczony został przez tłumacza przysięgłego na język polski (jeśli dotyczy).</w:t>
      </w:r>
    </w:p>
    <w:p w14:paraId="30A01777" w14:textId="2E6D0E88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 przygotowaniu </w:t>
      </w:r>
      <w:r w:rsidR="0099020F" w:rsidRPr="0099020F">
        <w:t>urządzeń typu reachstacker</w:t>
      </w:r>
      <w:r>
        <w:t xml:space="preserve"> do przeprowadzenia odbioru technicznego</w:t>
      </w:r>
      <w:r w:rsidR="0099020F">
        <w:t xml:space="preserve"> i końcowego</w:t>
      </w:r>
      <w:r>
        <w:t xml:space="preserve"> Dostawca zawiadomi Odbiorcę przez wysłanie zawiadomienia pocztą elektroniczną na adres: </w:t>
      </w:r>
      <w:hyperlink r:id="rId8" w:history="1">
        <w:r w:rsidR="0099020F" w:rsidRPr="00DA6854">
          <w:rPr>
            <w:rStyle w:val="Hipercze"/>
            <w:rFonts w:eastAsia="Times New Roman"/>
          </w:rPr>
          <w:t>mieczyslaw.sedzikowski@atstorun.pl</w:t>
        </w:r>
      </w:hyperlink>
      <w:r>
        <w:t>.</w:t>
      </w:r>
    </w:p>
    <w:p w14:paraId="08B10DE5" w14:textId="28D33BF8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Dostawca zobowiązany jest nie później niż </w:t>
      </w:r>
      <w:r w:rsidRPr="00DF73EA">
        <w:t>na 3 (trzy) dni przed</w:t>
      </w:r>
      <w:r>
        <w:t xml:space="preserve"> datą odbioru, wysłać Odbiorcy informację o gotowości Towaru do odbioru, a Odbiorca uzgodnić </w:t>
      </w:r>
      <w:r w:rsidR="0099020F">
        <w:t xml:space="preserve">miejsce i </w:t>
      </w:r>
      <w:r>
        <w:t xml:space="preserve">datę </w:t>
      </w:r>
      <w:r w:rsidR="0099020F">
        <w:t xml:space="preserve">dostawy oraz </w:t>
      </w:r>
      <w:r>
        <w:t xml:space="preserve">przybycia jego upoważnionych przedstawicieli w celu </w:t>
      </w:r>
      <w:r w:rsidR="0099020F">
        <w:t xml:space="preserve">dokonania </w:t>
      </w:r>
      <w:r>
        <w:t>odbioru oraz na własny koszt wysłać przedstawiciela po odbiór Towaru.</w:t>
      </w:r>
    </w:p>
    <w:p w14:paraId="0B6EBF9E" w14:textId="43A266AA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lastRenderedPageBreak/>
        <w:t xml:space="preserve">W przypadku nieprzystąpienia Odbiorcy do odbioru technicznego w terminie 7 dni od ustalonego przez Strony terminu, </w:t>
      </w:r>
      <w:r w:rsidR="0099020F">
        <w:t xml:space="preserve">urządzenie typu </w:t>
      </w:r>
      <w:r w:rsidR="0099020F" w:rsidRPr="0099020F">
        <w:t>reachstacker</w:t>
      </w:r>
      <w:r w:rsidR="0099020F">
        <w:t xml:space="preserve"> będące przedmiotem odbioru </w:t>
      </w:r>
      <w:r>
        <w:t>uznaje się za zatwierdzon</w:t>
      </w:r>
      <w:r w:rsidR="0099020F">
        <w:t>e</w:t>
      </w:r>
      <w:r>
        <w:t xml:space="preserve"> pod względem technicznym </w:t>
      </w:r>
      <w:r w:rsidR="0099020F">
        <w:t xml:space="preserve">i końcowym </w:t>
      </w:r>
      <w:r>
        <w:t xml:space="preserve">przez Zamawiającego. Ponadto </w:t>
      </w:r>
      <w:r w:rsidR="0099020F">
        <w:t xml:space="preserve">urządzenie typu </w:t>
      </w:r>
      <w:r w:rsidR="0099020F" w:rsidRPr="0099020F">
        <w:t>reachstacker</w:t>
      </w:r>
      <w:r w:rsidR="0099020F">
        <w:t xml:space="preserve"> będące przedmiotem odbioru </w:t>
      </w:r>
      <w:r>
        <w:t>uznaje się za odebran</w:t>
      </w:r>
      <w:r w:rsidR="0099020F">
        <w:t>e</w:t>
      </w:r>
      <w:r>
        <w:t xml:space="preserve"> bez uwag przez Zamawiającego, a je</w:t>
      </w:r>
      <w:r w:rsidR="0099020F">
        <w:t>go</w:t>
      </w:r>
      <w:r>
        <w:t xml:space="preserve"> dostawę za należycie zrealizowaną, jeżeli przed dokonaniem odbioru Zamawiający rozpocznie komercyjną je</w:t>
      </w:r>
      <w:r w:rsidR="0099020F">
        <w:t>go</w:t>
      </w:r>
      <w:r>
        <w:t xml:space="preserve"> eksploatację. </w:t>
      </w:r>
    </w:p>
    <w:p w14:paraId="32B9D76E" w14:textId="7A335D4B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Po dokonaniu odbioru, Strony podpisują Protokół </w:t>
      </w:r>
      <w:r w:rsidR="00DA2B70" w:rsidRPr="00DA2B70">
        <w:t xml:space="preserve">bezusterkowego odbioru </w:t>
      </w:r>
      <w:r w:rsidR="00DA2B70">
        <w:t xml:space="preserve">technicznego i </w:t>
      </w:r>
      <w:r w:rsidR="00DA2B70" w:rsidRPr="00DA2B70">
        <w:t>końcowego</w:t>
      </w:r>
      <w:r>
        <w:t>. W przypadku wykrycia przez Zamawiającego w trakcie odbioru usterek technicznych</w:t>
      </w:r>
      <w:r w:rsidR="00697546">
        <w:t xml:space="preserve"> uniemożliwiających eksploatację urządzenia</w:t>
      </w:r>
      <w:r>
        <w:t xml:space="preserve">, </w:t>
      </w:r>
      <w:r w:rsidR="00FD051E">
        <w:t xml:space="preserve">Zamawiający ma prawo odmówić podpisania protokołu odbioru końcowego do czasu usunięcia usterek, z obowiązkiem przejęcia przez Dostawcę kosztów powiązanych (wyłączenia, zastępstwo pracy innym urządzeniem na czas usunięcia usterek, itd.). Strony sporządzają wówczas oddzielną listę usterek ze wskazaniem terminu ich usunięcia. </w:t>
      </w:r>
      <w:r>
        <w:t xml:space="preserve">Zamawiający nie może odmówić odbioru </w:t>
      </w:r>
      <w:r w:rsidR="00DA2B70">
        <w:t xml:space="preserve">urządzenia </w:t>
      </w:r>
      <w:r>
        <w:t>w przypadku stwierdzenia podczas odbioru nieistotnych usterek, nieuniemożliwiających je</w:t>
      </w:r>
      <w:r w:rsidR="00FD051E">
        <w:t>go</w:t>
      </w:r>
      <w:r>
        <w:t xml:space="preserve"> eksploatacj</w:t>
      </w:r>
      <w:r w:rsidR="00FD051E">
        <w:t>i</w:t>
      </w:r>
      <w:r w:rsidR="00142947">
        <w:t>, pod warunkiem dostarczenia przez Dostawcę oświadczenia o terminie usunięcia tych usterek</w:t>
      </w:r>
      <w:r w:rsidR="00FD051E">
        <w:t>.</w:t>
      </w:r>
      <w:r w:rsidR="00142947">
        <w:t xml:space="preserve"> </w:t>
      </w:r>
    </w:p>
    <w:p w14:paraId="1E8A784C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4342D3E6" w14:textId="58243B55" w:rsidR="00D72378" w:rsidRDefault="00FC74F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Dostawa i w</w:t>
      </w:r>
      <w:r w:rsidR="00C00C91">
        <w:rPr>
          <w:rFonts w:ascii="Calibri" w:eastAsia="Calibri" w:hAnsi="Calibri"/>
          <w:b/>
          <w:sz w:val="22"/>
          <w:szCs w:val="22"/>
        </w:rPr>
        <w:t>ynagrodzenie za dostawę</w:t>
      </w:r>
    </w:p>
    <w:p w14:paraId="75C7EBE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B101F7" w14:textId="52F1142A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Odbiorca zapłaci Dostawcy wynagrodzenie (cenę) za dostawę </w:t>
      </w:r>
      <w:r w:rsidR="004C2D1E" w:rsidRPr="007A77F8">
        <w:t>4 sztuk urządzeń dźwigowych typu reachstacker</w:t>
      </w:r>
      <w:r>
        <w:t>, zgodnie z warunkami przewidzianymi Umową, na warunkach przewidzianych w niniejszym paragrafie.</w:t>
      </w:r>
      <w:r w:rsidR="00E400E7">
        <w:t xml:space="preserve"> Cena 1 Urządzenia wynosi …………………………. PLN/EURO netto (słownie: ……………).</w:t>
      </w:r>
    </w:p>
    <w:p w14:paraId="4EA51182" w14:textId="3CF204E4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 xml:space="preserve">Całkowita wartość wynagrodzenia netto przedmiotu umowy, tj. </w:t>
      </w:r>
      <w:r w:rsidR="004C2D1E" w:rsidRPr="00CE104A">
        <w:t>4 sztuk urządzeń dźwigowych typu reachstacker</w:t>
      </w:r>
      <w:r>
        <w:t xml:space="preserve"> 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0423C157" w14:textId="2BB2693C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Cena towaru obejmuje także naniesienie szablonów, oznakowanie, malowanie. Malowanie </w:t>
      </w:r>
      <w:r w:rsidR="005555AF">
        <w:t xml:space="preserve">wykonane zostanie </w:t>
      </w:r>
      <w:r>
        <w:t xml:space="preserve">zgodnie z dopuszczalnymi warunkami Wykonawcy, oznakowanie – zgodnie z przepisami. </w:t>
      </w:r>
    </w:p>
    <w:p w14:paraId="6ABCD7AE" w14:textId="4B2F71C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Wynagrodzenie </w:t>
      </w:r>
      <w:r w:rsidR="00E400E7">
        <w:t xml:space="preserve">za </w:t>
      </w:r>
      <w:r w:rsidR="00DF3034">
        <w:t xml:space="preserve">dostawę </w:t>
      </w:r>
      <w:r w:rsidR="00E400E7">
        <w:t>poszczególn</w:t>
      </w:r>
      <w:r w:rsidR="00DF3034">
        <w:t>ych</w:t>
      </w:r>
      <w:r w:rsidR="00E400E7">
        <w:t xml:space="preserve"> Urządze</w:t>
      </w:r>
      <w:r w:rsidR="00DF3034">
        <w:t>ń</w:t>
      </w:r>
      <w:r w:rsidR="00E400E7">
        <w:t xml:space="preserve">, </w:t>
      </w:r>
      <w:r>
        <w:t>Odbiorca za</w:t>
      </w:r>
      <w:r w:rsidRPr="00AD4AFC">
        <w:t>p</w:t>
      </w:r>
      <w:r>
        <w:t>łaci Dostawcy w terminie 30 dni od dnia dostawy</w:t>
      </w:r>
      <w:r w:rsidR="00E400E7">
        <w:t xml:space="preserve"> każdego z Urządzeń</w:t>
      </w:r>
      <w:r>
        <w:t xml:space="preserve">, pod warunkiem podpisania przez Strony bezusterkowego protokołu odbioru </w:t>
      </w:r>
      <w:r w:rsidR="00FC74FA">
        <w:t xml:space="preserve">końcowego </w:t>
      </w:r>
      <w:r w:rsidR="00E400E7">
        <w:t xml:space="preserve">każdego z Urządzeń </w:t>
      </w:r>
      <w:r>
        <w:t xml:space="preserve">i otrzymania prawidłowo wystawionej faktury VAT (jeśli dotyczy), </w:t>
      </w:r>
      <w:r w:rsidRPr="00AD4AFC">
        <w:t>aż do uiszczenia w sumie kwoty odpowiadającej całkowitej wartości netto przedmiotu umowy powiększonej o należny podatek VAT</w:t>
      </w:r>
      <w:r>
        <w:t xml:space="preserve"> (jeśli dotyczy).</w:t>
      </w:r>
    </w:p>
    <w:p w14:paraId="69AB2D70" w14:textId="33D04ADC" w:rsidR="00D72378" w:rsidRDefault="00C00C91" w:rsidP="00AD4AFC">
      <w:pPr>
        <w:pStyle w:val="Akapitzlist"/>
        <w:numPr>
          <w:ilvl w:val="0"/>
          <w:numId w:val="7"/>
        </w:numPr>
        <w:ind w:left="426" w:hanging="426"/>
        <w:rPr>
          <w:b/>
        </w:rPr>
      </w:pPr>
      <w:r>
        <w:t xml:space="preserve">Zapłata za </w:t>
      </w:r>
      <w:r w:rsidR="00E400E7">
        <w:t xml:space="preserve">każde </w:t>
      </w:r>
      <w:r>
        <w:t>dostarczon</w:t>
      </w:r>
      <w:r w:rsidR="00967AD2">
        <w:t>e</w:t>
      </w:r>
      <w:r>
        <w:t xml:space="preserve"> </w:t>
      </w:r>
      <w:r w:rsidR="00E400E7">
        <w:t>U</w:t>
      </w:r>
      <w:r w:rsidR="00967AD2" w:rsidRPr="00967AD2">
        <w:t>rządze</w:t>
      </w:r>
      <w:r w:rsidR="00E400E7">
        <w:t>nie</w:t>
      </w:r>
      <w:r>
        <w:t xml:space="preserve"> nastąpi w formie przelewu bankowego na rachunek bankowy Dostawcy prowadzony w banku: …………………………….o numerze:</w:t>
      </w:r>
    </w:p>
    <w:p w14:paraId="66FB0BDC" w14:textId="77777777" w:rsidR="00D72378" w:rsidRDefault="00C00C91" w:rsidP="007A77F8">
      <w:pPr>
        <w:pStyle w:val="Akapitzlist"/>
        <w:ind w:left="426"/>
        <w:rPr>
          <w:b/>
        </w:rPr>
      </w:pPr>
      <w:r w:rsidRPr="007A77F8">
        <w:rPr>
          <w:bCs/>
        </w:rPr>
        <w:t>…………………………………………….</w:t>
      </w:r>
      <w:r>
        <w:rPr>
          <w:bCs/>
        </w:rPr>
        <w:t>w terminie 30 dni od wystawienia faktury.</w:t>
      </w:r>
    </w:p>
    <w:p w14:paraId="4802DF86" w14:textId="31A44051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Rozliczenia, wynikające z Umowy, </w:t>
      </w:r>
      <w:r w:rsidRPr="00AD4AFC">
        <w:t>odbywają się</w:t>
      </w:r>
      <w:r>
        <w:t xml:space="preserve"> poprzez dokonanie wpłaty na rachunek bieżący Dostawcy.</w:t>
      </w:r>
    </w:p>
    <w:p w14:paraId="3145E109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Datą zapłaty jest data wpływu środków na konto Dostawcy.</w:t>
      </w:r>
    </w:p>
    <w:p w14:paraId="60D6E9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Dostawcy ponosi Dostawca, koszty banku Zamawiającego ponosi Zamawiający. </w:t>
      </w:r>
    </w:p>
    <w:p w14:paraId="2FC65F5B" w14:textId="0DCFE153" w:rsidR="00D72378" w:rsidRPr="00D71D9D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Jeżeli Dostawca nie </w:t>
      </w:r>
      <w:r w:rsidR="00413BB0">
        <w:rPr>
          <w:color w:val="000000"/>
        </w:rPr>
        <w:t xml:space="preserve">dotrzyma terminu dostawy Urządzeń, wskazanego w treści niniejszej Umowy, </w:t>
      </w:r>
      <w:r>
        <w:rPr>
          <w:color w:val="000000"/>
        </w:rPr>
        <w:t xml:space="preserve">a opóźnienie będzie większe </w:t>
      </w:r>
      <w:r>
        <w:t xml:space="preserve">niż </w:t>
      </w:r>
      <w:r w:rsidR="00F81245">
        <w:t xml:space="preserve">29 </w:t>
      </w:r>
      <w:r>
        <w:t>dni</w:t>
      </w:r>
      <w:r w:rsidR="00413BB0">
        <w:t xml:space="preserve"> (dla jednego Urządzenia)</w:t>
      </w:r>
      <w:r>
        <w:t xml:space="preserve">, </w:t>
      </w:r>
      <w:r>
        <w:rPr>
          <w:color w:val="000000"/>
        </w:rPr>
        <w:t>Zamawiającemu przysługuje prawo odstąpienia od umowy.</w:t>
      </w:r>
      <w:r w:rsidR="00413BB0">
        <w:rPr>
          <w:color w:val="000000"/>
        </w:rPr>
        <w:t xml:space="preserve"> W przypadku, gdy odstąpienie dotyczy tylko części z Urządzeń, Zamawiający ma prawo odstąpić od umowy, wyłącznie w zakresie tych Urządzeń, których dotyczy opóźnienie.</w:t>
      </w:r>
    </w:p>
    <w:p w14:paraId="021514AA" w14:textId="0C2E2987" w:rsidR="00413BB0" w:rsidRDefault="00D957E8" w:rsidP="00AD4AFC">
      <w:pPr>
        <w:pStyle w:val="Akapitzlist"/>
        <w:numPr>
          <w:ilvl w:val="0"/>
          <w:numId w:val="7"/>
        </w:numPr>
        <w:ind w:left="426" w:hanging="426"/>
      </w:pPr>
      <w:r>
        <w:lastRenderedPageBreak/>
        <w:t>Własność każdego z Urządzeń przechodzi na Zamawiającego z chwilą zapłaty pełnej ceny danego Urządzenia (zastrzeżenie własności rzeczy sprzedanej).</w:t>
      </w:r>
    </w:p>
    <w:p w14:paraId="6844EE96" w14:textId="77777777" w:rsidR="00D72378" w:rsidRDefault="00D72378">
      <w:pPr>
        <w:pStyle w:val="Akapitzlist"/>
        <w:ind w:left="0"/>
      </w:pPr>
    </w:p>
    <w:p w14:paraId="3781EA1A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1" w:name="_Hlk3655532"/>
      <w:bookmarkEnd w:id="1"/>
      <w:r>
        <w:rPr>
          <w:rFonts w:ascii="Calibri" w:eastAsia="Calibri" w:hAnsi="Calibri"/>
          <w:b/>
          <w:sz w:val="22"/>
          <w:szCs w:val="22"/>
        </w:rPr>
        <w:t>§ 7</w:t>
      </w:r>
    </w:p>
    <w:p w14:paraId="0DFEB9B8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Gwarancja i rękojmia</w:t>
      </w:r>
    </w:p>
    <w:p w14:paraId="00278C42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83C6D3D" w14:textId="0B22AE02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Dostawca udziela Odbiorcy gwarancji na dostarczon</w:t>
      </w:r>
      <w:r w:rsidR="00915658">
        <w:t>e</w:t>
      </w:r>
      <w:r>
        <w:t xml:space="preserve"> </w:t>
      </w:r>
      <w:r w:rsidR="009E61D9">
        <w:t>U</w:t>
      </w:r>
      <w:r w:rsidR="00915658" w:rsidRPr="00915658">
        <w:t>rządze</w:t>
      </w:r>
      <w:r w:rsidR="00915658">
        <w:t>nia</w:t>
      </w:r>
      <w:r w:rsidR="00915658" w:rsidRPr="00915658">
        <w:t xml:space="preserve"> </w:t>
      </w:r>
      <w:r>
        <w:t xml:space="preserve">na okres </w:t>
      </w:r>
      <w:r w:rsidR="00915658" w:rsidRPr="00915658">
        <w:t>36 miesięcy lub 6000 mth</w:t>
      </w:r>
      <w:r w:rsidR="00DC71D4">
        <w:t xml:space="preserve"> (motogodzin)</w:t>
      </w:r>
      <w:r w:rsidR="009E61D9">
        <w:t>, w zależności co nastąpi jako pierwsze od daty podpisania protokołu odbiorczego, dla każdego z Urządzeń osobno</w:t>
      </w:r>
      <w:r w:rsidR="008D6EC3">
        <w:t>. Z zastrzeżeniem ust. 2-6 niniejszego paragrafu, warunki gwarancji określa dokument gwarancyjny (dalej: Gwarancja Producenta), który zostanie dostarczony przez Dostawcę wraz z wydaniem Urządzeń. W przypadku sprzeczności między treścią ust. 2-6 niniejszego paragrafu, a Gwarancją Producenta, pierwszeństwo ma Gwarancja Producenta, ale tylko w tym zakresie, w którym jest bardziej korzystna dla Zamawiającego</w:t>
      </w:r>
      <w:r>
        <w:t>.</w:t>
      </w:r>
    </w:p>
    <w:p w14:paraId="1137658D" w14:textId="133AAF8A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W przypadku, gdy dostarczon</w:t>
      </w:r>
      <w:r w:rsidR="00915658">
        <w:t>e</w:t>
      </w:r>
      <w:r>
        <w:t xml:space="preserve"> </w:t>
      </w:r>
      <w:r w:rsidR="00915658" w:rsidRPr="00915658">
        <w:t>urządze</w:t>
      </w:r>
      <w:r w:rsidR="00915658">
        <w:t>nia</w:t>
      </w:r>
      <w:r w:rsidR="00915658" w:rsidRPr="00915658">
        <w:t xml:space="preserve"> dźwigow</w:t>
      </w:r>
      <w:r w:rsidR="00915658">
        <w:t>e</w:t>
      </w:r>
      <w:r w:rsidR="00915658" w:rsidRPr="00915658">
        <w:t xml:space="preserve"> typu reachstacker</w:t>
      </w:r>
      <w:r>
        <w:t xml:space="preserve"> lub </w:t>
      </w:r>
      <w:r w:rsidR="00915658">
        <w:t>ich</w:t>
      </w:r>
      <w:r>
        <w:t xml:space="preserve"> części nie spełnia</w:t>
      </w:r>
      <w:r w:rsidR="00915658">
        <w:t>ją</w:t>
      </w:r>
      <w:r>
        <w:t xml:space="preserve"> wymagań określonych w Umowie, Odbiorca ma prawo żądania wymiany </w:t>
      </w:r>
      <w:r w:rsidR="00915658">
        <w:t xml:space="preserve">urządzenia lub urządzeń </w:t>
      </w:r>
      <w:r>
        <w:t>lub jej</w:t>
      </w:r>
      <w:r w:rsidR="00915658">
        <w:t>/ich</w:t>
      </w:r>
      <w:r>
        <w:t xml:space="preserve"> części na takie, które wymagania spełniają, lub ich naprawy, lub zapewnienia innych usług ustalonych wspólnie z Dostawcą. </w:t>
      </w:r>
    </w:p>
    <w:p w14:paraId="153F9068" w14:textId="4D6CEFD0" w:rsidR="00D72378" w:rsidRPr="007A77F8" w:rsidRDefault="00C00C91" w:rsidP="00F81245">
      <w:pPr>
        <w:pStyle w:val="scfbrieftext"/>
        <w:numPr>
          <w:ilvl w:val="0"/>
          <w:numId w:val="2"/>
        </w:numPr>
        <w:tabs>
          <w:tab w:val="left" w:pos="426"/>
          <w:tab w:val="left" w:pos="993"/>
        </w:tabs>
        <w:ind w:left="851" w:hanging="357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Zapis ma zastosowanie wyłącznie w okresie gwarancji na dostarczone </w:t>
      </w:r>
      <w:r w:rsidR="00915658" w:rsidRPr="00915658">
        <w:rPr>
          <w:rFonts w:ascii="Calibri" w:eastAsia="Calibri" w:hAnsi="Calibri"/>
          <w:szCs w:val="22"/>
          <w:lang w:val="pl-PL"/>
        </w:rPr>
        <w:t>urządzenia dźwigowe typu reachstacker</w:t>
      </w:r>
      <w:r>
        <w:rPr>
          <w:rFonts w:ascii="Calibri" w:eastAsia="Calibri" w:hAnsi="Calibri"/>
          <w:szCs w:val="22"/>
          <w:lang w:val="pl-PL"/>
        </w:rPr>
        <w:t xml:space="preserve"> i wyłącznie, jeżeli odstępstwo od opisu technicznego nie jest spowodowane przez:</w:t>
      </w:r>
    </w:p>
    <w:p w14:paraId="4293A73B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Normalne zużycie;</w:t>
      </w:r>
    </w:p>
    <w:p w14:paraId="35836288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Uszkodzenia w wyniku wandalizmu;</w:t>
      </w:r>
    </w:p>
    <w:p w14:paraId="0C67C058" w14:textId="6738DE9E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Uszkodzenia lub niesprawności spowodowane niewłaściwym użyciem lub niewłaściwym postępowaniem z </w:t>
      </w:r>
      <w:r w:rsidR="00915658">
        <w:rPr>
          <w:rFonts w:ascii="Calibri" w:eastAsia="Calibri" w:hAnsi="Calibri"/>
          <w:szCs w:val="22"/>
          <w:lang w:val="pl-PL"/>
        </w:rPr>
        <w:t xml:space="preserve">urządzeniem/urządzeniami </w:t>
      </w:r>
      <w:r>
        <w:rPr>
          <w:rFonts w:ascii="Calibri" w:eastAsia="Calibri" w:hAnsi="Calibri"/>
          <w:szCs w:val="22"/>
          <w:lang w:val="pl-PL"/>
        </w:rPr>
        <w:t>przez Zamawiającego lub osoby trzecie a także postępowanie niezgodne z instrukcjami dostarczonymi wraz z dokumentacją przez Wykonawcę;</w:t>
      </w:r>
    </w:p>
    <w:p w14:paraId="034AA7A5" w14:textId="77777777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Okoliczności siły wyższej lub jakiekolwiek inne przyczyny zewnętrzne;</w:t>
      </w:r>
    </w:p>
    <w:p w14:paraId="155D1700" w14:textId="6087412D" w:rsidR="00C70A5F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>Wykonawca jest upoważniony do usunięcia zgłoszonych uszkodzeń według własnego uznania poprzez ich naprawę lub wymianę uszkodzonych części</w:t>
      </w:r>
      <w:r w:rsidR="00166063">
        <w:t xml:space="preserve"> na nowe</w:t>
      </w:r>
      <w:r>
        <w:t xml:space="preserve">. Ponadto, Wykonawca może zatrudnić osoby trzecie do wykonywania obowiązków z tytułu gwarancji udzielonej na dostarczone </w:t>
      </w:r>
      <w:r w:rsidR="00915658" w:rsidRPr="00915658">
        <w:t>urządzenia dźwigowe typu reachstacker</w:t>
      </w:r>
      <w:r>
        <w:t xml:space="preserve">. Okres gwarancji na wymienione uszkodzone części zaczyna się na nowo z datą wymiany tej części. </w:t>
      </w:r>
    </w:p>
    <w:p w14:paraId="518F3543" w14:textId="2747DFBB" w:rsidR="00D72378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 xml:space="preserve">Odbiorca zgłosi Dostawcy poprzez przesłanie na adres e-mail:…………………….. informację o wadzie przedmiotu umowy lub jego części, a Dostawca, wykona zobowiązanie wynikające z gwarancji nie później niż w terminie 5 dni od dnia otrzymania zgłoszenia lub w terminie 2 dni od dnia otrzymania zgłoszenia poinformuje Odbiorcę o braku możliwości skorzystania z gwarancji. Koszt dostawy </w:t>
      </w:r>
      <w:r w:rsidR="00C70A5F">
        <w:t xml:space="preserve">urządzeń </w:t>
      </w:r>
      <w:r w:rsidR="00C70A5F" w:rsidRPr="00C70A5F">
        <w:t>typu reachstacker</w:t>
      </w:r>
      <w:r w:rsidR="00C70A5F">
        <w:t xml:space="preserve"> </w:t>
      </w:r>
      <w:r>
        <w:t>do miejsca wykonywania przez Wykonawcę obowiązków z tytułu gwarancji leży po stronie Wykonawcy.</w:t>
      </w:r>
    </w:p>
    <w:p w14:paraId="7DFB1F2E" w14:textId="3FF43832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W razie braku możliwości wymiany lub naprawy, Odbiorca może żądać od Dostawcy zwrotu ceny zapłaconej za wadliwy przedmiot umowy lub jego część. Zamawiającemu zostanie zwrócona cena </w:t>
      </w:r>
      <w:r w:rsidR="00C70A5F">
        <w:t xml:space="preserve">urządzeń lub urządzenia </w:t>
      </w:r>
      <w:r>
        <w:t xml:space="preserve">pomniejszona o kwoty odpowiadające normalnemu zużyciu i amortyzacji w czasie, w którym </w:t>
      </w:r>
      <w:r w:rsidR="00C70A5F">
        <w:t xml:space="preserve">urządzenie lub urządzenia </w:t>
      </w:r>
      <w:r>
        <w:t>był</w:t>
      </w:r>
      <w:r w:rsidR="00C70A5F">
        <w:t>y</w:t>
      </w:r>
      <w:r>
        <w:t xml:space="preserve"> używan</w:t>
      </w:r>
      <w:r w:rsidR="00C70A5F">
        <w:t>e</w:t>
      </w:r>
      <w:r>
        <w:t>.</w:t>
      </w:r>
    </w:p>
    <w:p w14:paraId="25E831BB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Gwarancja nie wyłącza, nie ogranicza ani nie zawiesza uprawnień Odbiorcy wynikających z przepisów o rękojmi. </w:t>
      </w:r>
    </w:p>
    <w:p w14:paraId="57C89CE3" w14:textId="77777777" w:rsidR="00D72378" w:rsidRDefault="00D72378" w:rsidP="00F81245">
      <w:pPr>
        <w:pStyle w:val="Akapitzlist"/>
        <w:ind w:left="426" w:hanging="426"/>
      </w:pPr>
    </w:p>
    <w:p w14:paraId="5D5CB183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8</w:t>
      </w:r>
    </w:p>
    <w:p w14:paraId="4812E07B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lastRenderedPageBreak/>
        <w:t>Kary umowne</w:t>
      </w:r>
    </w:p>
    <w:p w14:paraId="173AAC1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0E9E825" w14:textId="171CADAF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rPr>
          <w:color w:val="000000"/>
        </w:rPr>
        <w:t>W przypadku naruszenia obowiązków, wynikających z niniejszej Umowy (zw</w:t>
      </w:r>
      <w:r w:rsidRPr="00F81245">
        <w:rPr>
          <w:color w:val="000000"/>
        </w:rPr>
        <w:t>ane</w:t>
      </w:r>
      <w:r>
        <w:rPr>
          <w:color w:val="000000"/>
        </w:rPr>
        <w:t xml:space="preserve"> dalej „naruszenie umowy”) Strona ponosi odpowiedzialność, wyznaczoną w niniejszej Umowie i (lub) obowiązującym ustawodawstwem Polskim.</w:t>
      </w:r>
    </w:p>
    <w:p w14:paraId="687BA6D6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t>Kary umowne będą naliczane w następujących przypadkach i wysokościach:</w:t>
      </w:r>
    </w:p>
    <w:p w14:paraId="21090B5F" w14:textId="2580E992" w:rsidR="008D3952" w:rsidRDefault="00F81245">
      <w:pPr>
        <w:pStyle w:val="Tekstpodstawowy"/>
        <w:numPr>
          <w:ilvl w:val="0"/>
          <w:numId w:val="11"/>
        </w:numPr>
        <w:ind w:left="851" w:hanging="425"/>
        <w:contextualSpacing/>
      </w:pPr>
      <w:r>
        <w:t>W</w:t>
      </w:r>
      <w:r w:rsidRPr="00F81245">
        <w:t xml:space="preserve"> przypadku dostawy przedmiotu zamówienia po terminie wskazanym w § 4 ust. 1 umowy z winy </w:t>
      </w:r>
      <w:r w:rsidR="00AA0819">
        <w:t>D</w:t>
      </w:r>
      <w:r w:rsidRPr="00F81245">
        <w:t>ostawcy</w:t>
      </w:r>
      <w:r w:rsidR="00AA0819">
        <w:t>,</w:t>
      </w:r>
      <w:r w:rsidRPr="00F81245">
        <w:t xml:space="preserve"> </w:t>
      </w:r>
      <w:r w:rsidR="00AA0819">
        <w:t>D</w:t>
      </w:r>
      <w:r w:rsidRPr="00F81245">
        <w:t xml:space="preserve">ostawca jest zobowiązany do zapłaty kary umownej na rzecz Odbiorcy w wysokości 0,03% wartości niedostarczonych </w:t>
      </w:r>
      <w:r w:rsidR="00AA0819">
        <w:t xml:space="preserve">Urządzeń </w:t>
      </w:r>
      <w:r w:rsidRPr="00F81245">
        <w:t xml:space="preserve">za każdy dzień zwłoki, lecz nie więcej niż 10% wartości netto umowy - niniejsze postanowienie ma zastosowanie w przypadku, w którym zwłoka wynosi dłużej niż 20 dni kalendarzowych od terminu określonego w </w:t>
      </w:r>
      <w:r>
        <w:t>Umowie</w:t>
      </w:r>
      <w:r w:rsidRPr="00F81245">
        <w:t>; naliczenie kary umownej następuje od dnia następnego po 20 dniu trwania zwłoki Dostawcy;</w:t>
      </w:r>
      <w:r w:rsidR="00AA0819">
        <w:t xml:space="preserve"> w przypadku zastosowania zapisu umowy zawartego w § 8 ust. 4 (gdy Zamawiający odstąpił od umowy z powodu opóźnienia w dostawie), niniejsza kara umowna obowiązuje do momentu odstąpienia od umowy </w:t>
      </w:r>
      <w:r w:rsidRPr="00F81245">
        <w:t>.</w:t>
      </w:r>
    </w:p>
    <w:p w14:paraId="52EE2FCF" w14:textId="390F7505" w:rsidR="00D72378" w:rsidRDefault="00C00C91">
      <w:pPr>
        <w:pStyle w:val="Tekstpodstawowy"/>
        <w:numPr>
          <w:ilvl w:val="0"/>
          <w:numId w:val="11"/>
        </w:numPr>
        <w:ind w:left="851" w:hanging="425"/>
        <w:contextualSpacing/>
      </w:pPr>
      <w:r>
        <w:t xml:space="preserve">W przypadku niedotrzymania obowiązków wynikających z postanowień </w:t>
      </w:r>
      <w:r w:rsidRPr="007A77F8">
        <w:t>§ 5 ust. 3</w:t>
      </w:r>
      <w:r>
        <w:rPr>
          <w:color w:val="FF0000"/>
        </w:rPr>
        <w:t xml:space="preserve"> </w:t>
      </w:r>
      <w:r>
        <w:t>umowy z winy Dostawcy, będzie on zobowiązany do zapłaty na rzecz Odbiorcy kary umownej w wysokości 0,05% wartości partii towaru, którego dotyczy naruszenie za każdy dzień zwłoki w dostarczeniu dokumentów.</w:t>
      </w:r>
    </w:p>
    <w:p w14:paraId="16ACEC92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Zapłata kar umownych nie zwalnia Stron od obowiązków wynikających z niniejszej Umowy i eliminacji naruszeń.</w:t>
      </w:r>
    </w:p>
    <w:p w14:paraId="02FC64C0" w14:textId="0BB641D5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 xml:space="preserve">W przypadku, gdy opóźnienie w </w:t>
      </w:r>
      <w:r w:rsidRPr="008D3952">
        <w:t xml:space="preserve">dostawie </w:t>
      </w:r>
      <w:r w:rsidR="00603910">
        <w:t xml:space="preserve">urządzeń typu </w:t>
      </w:r>
      <w:r w:rsidR="00603910" w:rsidRPr="0099020F">
        <w:t>reachstacker</w:t>
      </w:r>
      <w:r w:rsidRPr="008D3952">
        <w:t xml:space="preserve"> przekracza </w:t>
      </w:r>
      <w:r>
        <w:t xml:space="preserve">29 </w:t>
      </w:r>
      <w:r w:rsidR="008D3952">
        <w:t>d</w:t>
      </w:r>
      <w:r w:rsidRPr="008D3952">
        <w:t>ni</w:t>
      </w:r>
      <w:r>
        <w:t xml:space="preserve"> Odbiorca ma prawo </w:t>
      </w:r>
      <w:r w:rsidR="00B55855">
        <w:t xml:space="preserve">odstąpić od Umowy </w:t>
      </w:r>
      <w:r>
        <w:t xml:space="preserve">ze skutkiem natychmiastowym, po złożeniu Dostawcy oświadczenia o </w:t>
      </w:r>
      <w:r w:rsidR="00B55855">
        <w:t xml:space="preserve">odstąpieniu, </w:t>
      </w:r>
      <w:r>
        <w:t>poprzez jego przesłanie pocztą tradycyjną lub elektroniczną na adres ……………………………</w:t>
      </w:r>
    </w:p>
    <w:p w14:paraId="27B1C6B5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Dostawca jest obowiązany uiścić należną karę umowną w terminie 7 dni od dnia otrzymania wezwania do zapłaty na rachunek bankowy w nim wskazany.</w:t>
      </w:r>
    </w:p>
    <w:p w14:paraId="6A20E6FE" w14:textId="77777777" w:rsidR="00D72378" w:rsidRDefault="00C00C91" w:rsidP="008D3952">
      <w:pPr>
        <w:pStyle w:val="Akapitzlist"/>
        <w:numPr>
          <w:ilvl w:val="0"/>
          <w:numId w:val="12"/>
        </w:numPr>
        <w:ind w:left="426" w:hanging="426"/>
      </w:pPr>
      <w:r>
        <w:t xml:space="preserve">Strony mogą dochodzić na zasadach ogólnych odszkodowania przewyższającego kary umowne. </w:t>
      </w:r>
    </w:p>
    <w:p w14:paraId="0B4A9BEF" w14:textId="3FDC37F6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7E5B9F52" w14:textId="0613A00F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D71D9D">
        <w:rPr>
          <w:rFonts w:ascii="Calibri" w:eastAsia="Calibri" w:hAnsi="Calibri"/>
          <w:b/>
          <w:sz w:val="22"/>
          <w:szCs w:val="22"/>
        </w:rPr>
        <w:t>§ 8a</w:t>
      </w:r>
    </w:p>
    <w:p w14:paraId="39F0073D" w14:textId="5ACB468F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D71D9D">
        <w:rPr>
          <w:rFonts w:ascii="Calibri" w:eastAsia="Calibri" w:hAnsi="Calibri"/>
          <w:b/>
          <w:sz w:val="22"/>
          <w:szCs w:val="22"/>
        </w:rPr>
        <w:t>Odpowiedzialność Dostawcy</w:t>
      </w:r>
    </w:p>
    <w:p w14:paraId="435EC9B8" w14:textId="266D75A8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50477164" w14:textId="2960A855" w:rsidR="00166063" w:rsidRPr="00D71D9D" w:rsidRDefault="00132F6C" w:rsidP="00D71D9D">
      <w:pPr>
        <w:widowControl/>
        <w:jc w:val="both"/>
        <w:rPr>
          <w:rFonts w:ascii="Calibri" w:eastAsia="Calibri" w:hAnsi="Calibri"/>
          <w:bCs/>
          <w:sz w:val="22"/>
          <w:szCs w:val="22"/>
        </w:rPr>
      </w:pPr>
      <w:r w:rsidRPr="00D71D9D">
        <w:rPr>
          <w:rFonts w:ascii="Calibri" w:eastAsia="Calibri" w:hAnsi="Calibri"/>
          <w:bCs/>
          <w:sz w:val="22"/>
          <w:szCs w:val="22"/>
        </w:rPr>
        <w:t xml:space="preserve">Dostawca ponosi względem Zamawiającego odpowiedzialność za niewykonanie lub nienależyte wykonanie Umowy. Dostawca ponosi odpowiedzialność wyłącznie za szkody zawinione (umyślnie i nieumyślnie) i w zakresie rzeczywistej straty (z wyłączeniem </w:t>
      </w:r>
      <w:r>
        <w:rPr>
          <w:rFonts w:ascii="Calibri" w:eastAsia="Calibri" w:hAnsi="Calibri"/>
          <w:bCs/>
          <w:sz w:val="22"/>
          <w:szCs w:val="22"/>
        </w:rPr>
        <w:t>utraconych korzyści). W każdym przypadku odpowiedzialność Dostawcy za szkody ogranicza się do wysokości 25% (dwadzieścia pięć procent) łącznej Ceny netto 4 Urządzeń.</w:t>
      </w: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7A77F8">
        <w:rPr>
          <w:rFonts w:ascii="Calibri" w:eastAsia="Calibri" w:hAnsi="Calibri"/>
          <w:b/>
          <w:sz w:val="22"/>
          <w:szCs w:val="22"/>
        </w:rPr>
        <w:t>§ 9</w:t>
      </w:r>
    </w:p>
    <w:p w14:paraId="4416FC6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40DCFD17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</w:t>
      </w:r>
      <w:r>
        <w:rPr>
          <w:rFonts w:ascii="Calibri" w:eastAsia="Arial Unicode MS" w:hAnsi="Calibri"/>
          <w:sz w:val="22"/>
          <w:szCs w:val="22"/>
        </w:rPr>
        <w:lastRenderedPageBreak/>
        <w:t xml:space="preserve">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Wszelkie zmiany umowy wymagają zgodnej woli Stron oraz formy pisemnej pod rygorem jej 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22)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60D04AAB" w:rsidR="00D72378" w:rsidRDefault="00C00C91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dostarczyć </w:t>
      </w:r>
      <w:r w:rsidR="00603910">
        <w:rPr>
          <w:rFonts w:ascii="Calibri" w:eastAsia="Arial Unicode MS" w:hAnsi="Calibri"/>
          <w:sz w:val="22"/>
          <w:szCs w:val="22"/>
        </w:rPr>
        <w:t xml:space="preserve">urządzenia typu </w:t>
      </w:r>
      <w:r w:rsidR="00603910" w:rsidRPr="00603910">
        <w:rPr>
          <w:rFonts w:ascii="Calibri" w:eastAsia="Arial Unicode MS" w:hAnsi="Calibri"/>
          <w:sz w:val="22"/>
          <w:szCs w:val="22"/>
        </w:rPr>
        <w:t>reachstacker</w:t>
      </w:r>
      <w:r>
        <w:rPr>
          <w:rFonts w:ascii="Calibri" w:eastAsia="Arial Unicode MS" w:hAnsi="Calibri"/>
          <w:sz w:val="22"/>
          <w:szCs w:val="22"/>
        </w:rPr>
        <w:t xml:space="preserve"> zgodnie ze standardami wymienionymi w Opisie Technicznym (Załącznik 2) i mającymi zastosowanie na dzień złożenia oferty, jednakże z uwzględnieniem zapisów </w:t>
      </w:r>
      <w:r>
        <w:rPr>
          <w:rFonts w:ascii="Calibri" w:eastAsia="Calibri" w:hAnsi="Calibri"/>
          <w:b/>
          <w:sz w:val="22"/>
          <w:szCs w:val="22"/>
        </w:rPr>
        <w:t>§ 5.</w:t>
      </w:r>
    </w:p>
    <w:p w14:paraId="6C4A46AA" w14:textId="21098AC6" w:rsidR="00D72378" w:rsidRDefault="00C00C91" w:rsidP="008D3952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</w:t>
      </w:r>
      <w:r w:rsidRPr="008D3952">
        <w:rPr>
          <w:rFonts w:ascii="Calibri" w:eastAsia="Arial Unicode MS" w:hAnsi="Calibri"/>
          <w:sz w:val="22"/>
          <w:szCs w:val="22"/>
        </w:rPr>
        <w:t>będą</w:t>
      </w:r>
      <w:r>
        <w:rPr>
          <w:rFonts w:ascii="Calibri" w:eastAsia="Arial Unicode MS" w:hAnsi="Calibri"/>
          <w:sz w:val="22"/>
          <w:szCs w:val="22"/>
        </w:rPr>
        <w:t xml:space="preserve"> wynikiem orzeczeń sądowych, jak również zmian znanej Wykonawcy praktyki administracyjnej, będą zamawiane i opłacone przez </w:t>
      </w:r>
      <w:r>
        <w:rPr>
          <w:rFonts w:ascii="Calibri" w:eastAsia="Arial Unicode MS" w:hAnsi="Calibri"/>
          <w:color w:val="000000"/>
          <w:sz w:val="22"/>
          <w:szCs w:val="22"/>
        </w:rPr>
        <w:t>Zamawiającego pod warunkiem obustronnych uzgodnień i akceptacji oferty cenowej. Ponadto</w:t>
      </w:r>
      <w:r>
        <w:rPr>
          <w:rFonts w:ascii="Calibri" w:eastAsia="Arial Unicode MS" w:hAnsi="Calibri"/>
          <w:sz w:val="22"/>
          <w:szCs w:val="22"/>
        </w:rPr>
        <w:t xml:space="preserve">, </w:t>
      </w:r>
      <w:r w:rsidRPr="008D3952">
        <w:rPr>
          <w:rFonts w:ascii="Calibri" w:eastAsia="Arial Unicode MS" w:hAnsi="Calibri"/>
          <w:sz w:val="22"/>
          <w:szCs w:val="22"/>
        </w:rPr>
        <w:t xml:space="preserve">terminy dostawy </w:t>
      </w:r>
      <w:r w:rsidR="00603910" w:rsidRPr="00603910">
        <w:rPr>
          <w:rFonts w:ascii="Calibri" w:eastAsia="Arial Unicode MS" w:hAnsi="Calibri"/>
          <w:sz w:val="22"/>
          <w:szCs w:val="22"/>
        </w:rPr>
        <w:t>urządze</w:t>
      </w:r>
      <w:r w:rsidR="00603910">
        <w:rPr>
          <w:rFonts w:ascii="Calibri" w:eastAsia="Arial Unicode MS" w:hAnsi="Calibri"/>
          <w:sz w:val="22"/>
          <w:szCs w:val="22"/>
        </w:rPr>
        <w:t>ń</w:t>
      </w:r>
      <w:r w:rsidR="00603910" w:rsidRPr="00603910">
        <w:rPr>
          <w:rFonts w:ascii="Calibri" w:eastAsia="Arial Unicode MS" w:hAnsi="Calibri"/>
          <w:sz w:val="22"/>
          <w:szCs w:val="22"/>
        </w:rPr>
        <w:t xml:space="preserve"> typu reachstacker</w:t>
      </w:r>
      <w:r w:rsidRPr="008D3952">
        <w:rPr>
          <w:rFonts w:ascii="Calibri" w:eastAsia="Arial Unicode MS" w:hAnsi="Calibri"/>
          <w:sz w:val="22"/>
          <w:szCs w:val="22"/>
        </w:rPr>
        <w:t>, których</w:t>
      </w:r>
      <w:r>
        <w:rPr>
          <w:rFonts w:ascii="Calibri" w:eastAsia="Arial Unicode MS" w:hAnsi="Calibri"/>
          <w:sz w:val="22"/>
          <w:szCs w:val="22"/>
        </w:rPr>
        <w:t xml:space="preserve"> dotykają te zmiany powinny zostać dostosowane poprzez uwzględnienie rozsądnego czasu wymaganego dla wprowadzenia takich zmian.</w:t>
      </w:r>
    </w:p>
    <w:p w14:paraId="425D4E7E" w14:textId="69D2BD55" w:rsidR="00D72378" w:rsidRDefault="00C00C91" w:rsidP="007A77F8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Jeżeli którakolwiek ze Stron uzna zmiany dotyczące przedmiotu umowy za konieczne w związku ze wskazanymi wyżej okolicznościami, zobowiązana jest powiadomić niezwłocznie o tym drugą Stronę na piśmie.</w:t>
      </w: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53F59DE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10B7526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lastRenderedPageBreak/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14:paraId="5064D98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strona opóźnia się z wykonaniem swoich zobowiązań wynikających z Umowy, pozbawia Stronę prawa do powoływania się na te okoliczności jako podstawy do zwolnienia od odpowiedzialności na mocy Umowy. </w:t>
      </w:r>
    </w:p>
    <w:p w14:paraId="47F99B9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Działanie okoliczności siły wyższej musi zostać potwierdzone zaświadczeniem z Izby Handlowej w siedzibie Strony lub przez inne właściwe organy.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3F27099B" w14:textId="77777777" w:rsidR="00D72378" w:rsidRDefault="00D72378">
      <w:pPr>
        <w:pStyle w:val="Akapitzlist"/>
        <w:ind w:left="360"/>
      </w:pPr>
    </w:p>
    <w:p w14:paraId="57A85600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Zamawiający powinien na własny koszt i odpowiedzialność przekazać Wykonawcy specyfikację malowania zewnętrznego. </w:t>
      </w:r>
    </w:p>
    <w:p w14:paraId="6FF81DE8" w14:textId="78564A79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Wykonawca jako producent </w:t>
      </w:r>
      <w:r w:rsidR="007A2458">
        <w:t>U</w:t>
      </w:r>
      <w:r w:rsidR="00E114BA">
        <w:t>rządzeń</w:t>
      </w:r>
      <w:r>
        <w:t xml:space="preserve">, zapewni </w:t>
      </w:r>
      <w:r w:rsidR="00E114BA">
        <w:t xml:space="preserve">wszelkiego rodzaju atesty, dopuszczenia czy </w:t>
      </w:r>
      <w:r>
        <w:t>homologacj</w:t>
      </w:r>
      <w:r w:rsidR="00E114BA">
        <w:t>e</w:t>
      </w:r>
      <w:r>
        <w:t xml:space="preserve"> </w:t>
      </w:r>
      <w:r w:rsidR="00E114BA">
        <w:t>niezbędne do ich funkcjonowania</w:t>
      </w:r>
      <w:r>
        <w:t xml:space="preserve">. </w:t>
      </w:r>
      <w:r w:rsidR="007A2458">
        <w:t xml:space="preserve">Czynności związane z procedurą pierwszego dopuszczenia dostarczonych Zamawiającemu Urządzeń do eksploatacji przed Urzędem Dozoru Technicznego obciążają Zamawiającego, natomiast ryzyko związane z nieuzyskaniem pierwszego dopuszczenia do eksploatacji przez UDT leży po stronie Dostawcy. W przypadku nie uzyskania pierwszego dopuszczenia do eksploatacji przez UDT Dostawca ponosić będzie koszty zastępstwa pracy innym urządzeniem, do czasu </w:t>
      </w:r>
      <w:r w:rsidR="00C104E1">
        <w:t xml:space="preserve">faktycznego </w:t>
      </w:r>
      <w:r w:rsidR="007A2458">
        <w:t xml:space="preserve">uzyskania dopuszczenia </w:t>
      </w:r>
      <w:r w:rsidR="00C104E1">
        <w:t xml:space="preserve">Urządzenia </w:t>
      </w:r>
      <w:r w:rsidR="007A2458">
        <w:t>do eksploatacji przez UDT.</w:t>
      </w:r>
    </w:p>
    <w:p w14:paraId="1CA03A4E" w14:textId="7C76F7B4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Strona jest upoważniona do </w:t>
      </w:r>
      <w:r w:rsidR="00C15E9C">
        <w:t xml:space="preserve">odstąpienia od niniejszej umowy, poprzez złożenie oświadczenia w formie pisemnej lub mailowej, gdy: </w:t>
      </w:r>
    </w:p>
    <w:p w14:paraId="7101D500" w14:textId="2BF4F6B7" w:rsidR="00D72378" w:rsidRDefault="00C00C91" w:rsidP="008D3952">
      <w:pPr>
        <w:pStyle w:val="Akapitzlist"/>
        <w:numPr>
          <w:ilvl w:val="0"/>
          <w:numId w:val="18"/>
        </w:numPr>
      </w:pPr>
      <w:r>
        <w:t xml:space="preserve">druga strona wielokrotnie naruszyła istotne zobowiązania wynikające z niniejszej umowy i nie usunęła tych naruszeń </w:t>
      </w:r>
      <w:r w:rsidR="008D3952">
        <w:t xml:space="preserve">w </w:t>
      </w:r>
      <w:r w:rsidR="00337815">
        <w:t>terminie wskazanym</w:t>
      </w:r>
      <w:r w:rsidR="008D3952">
        <w:t xml:space="preserve"> przez stronę wzywającą do usunięcia naruszenia </w:t>
      </w:r>
      <w:r>
        <w:t xml:space="preserve">pod rygorem </w:t>
      </w:r>
      <w:r w:rsidR="00C15E9C">
        <w:t xml:space="preserve">odstąpienia od </w:t>
      </w:r>
      <w:r>
        <w:t xml:space="preserve">umowy. Ma to jednak zastosowanie tylko wtedy,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</w:p>
    <w:p w14:paraId="6E5566AB" w14:textId="57EBB9A8" w:rsidR="00D72378" w:rsidRDefault="00C15E9C" w:rsidP="00D71D9D">
      <w:pPr>
        <w:pStyle w:val="Akapitzlist"/>
        <w:ind w:left="426"/>
      </w:pPr>
      <w:r>
        <w:t xml:space="preserve">b) </w:t>
      </w:r>
      <w:r w:rsidR="00C00C91">
        <w:t xml:space="preserve">Odbiorca jest upoważniony do </w:t>
      </w:r>
      <w:r>
        <w:t xml:space="preserve">odstąpienia od </w:t>
      </w:r>
      <w:r w:rsidR="00C00C91">
        <w:t>umowy w przypadku opóźnienia dostawy z przyczyn leżących po stronie Dostawcy, gdy spełniony zostanie minimum jeden z poniższych warunków:</w:t>
      </w:r>
    </w:p>
    <w:p w14:paraId="5D50B01F" w14:textId="72A304F6" w:rsidR="00D72378" w:rsidRDefault="00E114BA" w:rsidP="006A0001">
      <w:pPr>
        <w:pStyle w:val="Akapitzlist"/>
        <w:ind w:left="1418" w:hanging="709"/>
      </w:pPr>
      <w:r>
        <w:t xml:space="preserve">            (</w:t>
      </w:r>
      <w:r w:rsidR="00C00C91">
        <w:t>i)</w:t>
      </w:r>
      <w:r w:rsidR="00C00C91">
        <w:tab/>
        <w:t xml:space="preserve">osiągnięto maksymalny poziom kar </w:t>
      </w:r>
      <w:r w:rsidR="00C15E9C">
        <w:t xml:space="preserve">umownych </w:t>
      </w:r>
      <w:r w:rsidR="00C00C91">
        <w:t xml:space="preserve">określony w </w:t>
      </w:r>
      <w:r w:rsidR="006A0001">
        <w:t>§</w:t>
      </w:r>
      <w:r w:rsidR="00C00C91">
        <w:t xml:space="preserve"> 8, lub</w:t>
      </w:r>
    </w:p>
    <w:p w14:paraId="7B8174CB" w14:textId="41CF5C66" w:rsidR="00D72378" w:rsidRPr="00431DC3" w:rsidRDefault="00E114BA" w:rsidP="006A0001">
      <w:pPr>
        <w:pStyle w:val="Akapitzlist"/>
        <w:ind w:left="1418" w:hanging="709"/>
      </w:pPr>
      <w:r>
        <w:t xml:space="preserve">            </w:t>
      </w:r>
      <w:r w:rsidR="00C00C91">
        <w:t>(ii)</w:t>
      </w:r>
      <w:r w:rsidR="00C00C91">
        <w:tab/>
        <w:t xml:space="preserve">przekroczony został czas trwania opóźnienia określony w </w:t>
      </w:r>
      <w:r w:rsidR="006A0001">
        <w:t>§</w:t>
      </w:r>
      <w:r w:rsidR="00C00C91">
        <w:t xml:space="preserve"> 8 ust. 4.</w:t>
      </w:r>
    </w:p>
    <w:p w14:paraId="306A804A" w14:textId="54DA2911" w:rsidR="00D72378" w:rsidRDefault="00D72378" w:rsidP="00D71D9D">
      <w:pPr>
        <w:pStyle w:val="Akapitzlist"/>
        <w:ind w:left="426"/>
      </w:pP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2281373B" w:rsidR="00D72378" w:rsidRPr="007A77F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highlight w:val="lightGray"/>
        </w:rPr>
      </w:pPr>
      <w:r>
        <w:t xml:space="preserve">W momencie podpisywania niniejszej Umowy Dostawca i Odbiorca są płatnikami podatku </w:t>
      </w:r>
      <w:r w:rsidR="007A2458">
        <w:t>VAT.</w:t>
      </w:r>
      <w:r w:rsidR="00D71D9D" w:rsidRPr="007A77F8">
        <w:rPr>
          <w:highlight w:val="lightGray"/>
        </w:rPr>
        <w:t xml:space="preserve"> </w:t>
      </w:r>
    </w:p>
    <w:p w14:paraId="646770DF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rPr>
          <w:color w:val="000000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lastRenderedPageBreak/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77777777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Odbiorcy.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3421B0B8" w:rsidR="00D72378" w:rsidRDefault="00C00C91" w:rsidP="006A0001">
      <w:pPr>
        <w:pStyle w:val="Akapitzlist"/>
        <w:ind w:left="426"/>
      </w:pPr>
      <w:r>
        <w:t xml:space="preserve">- ze strony Odbiorcy – </w:t>
      </w:r>
      <w:r w:rsidR="002929B6">
        <w:t>Mieczysław Sędzikowski</w:t>
      </w:r>
      <w:r>
        <w:t xml:space="preserve"> , </w:t>
      </w:r>
      <w:r w:rsidR="002929B6">
        <w:t>+48</w:t>
      </w:r>
      <w:r w:rsidR="002929B6" w:rsidRPr="002929B6">
        <w:t>502854036</w:t>
      </w:r>
      <w:r>
        <w:t xml:space="preserve">, </w:t>
      </w:r>
      <w:hyperlink r:id="rId9" w:history="1">
        <w:r w:rsidR="002929B6" w:rsidRPr="00DA6854">
          <w:rPr>
            <w:rStyle w:val="Hipercze"/>
          </w:rPr>
          <w:t>mieczyslaw.sedzikowski@atstorun.pl</w:t>
        </w:r>
      </w:hyperlink>
      <w:r w:rsidR="002929B6">
        <w:t xml:space="preserve"> </w:t>
      </w:r>
      <w:r>
        <w:t>(imię, nazwisko, nr tel., e-mail)</w:t>
      </w:r>
    </w:p>
    <w:p w14:paraId="1B2D820D" w14:textId="77777777" w:rsidR="00D72378" w:rsidRDefault="00C00C91" w:rsidP="006A0001">
      <w:pPr>
        <w:pStyle w:val="Akapitzlist"/>
        <w:ind w:left="426"/>
      </w:pPr>
      <w:r>
        <w:t>- ze strony Dostawcy – …………, ……………..,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Załączniki:</w:t>
      </w:r>
    </w:p>
    <w:p w14:paraId="2503543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1 – schemat</w:t>
      </w:r>
    </w:p>
    <w:p w14:paraId="0BC30326" w14:textId="3F0A2C2C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2 – specyfikacja techniczna</w:t>
      </w:r>
    </w:p>
    <w:p w14:paraId="044D6536" w14:textId="7E7EC246" w:rsidR="00783A3C" w:rsidRDefault="00783A3C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3 – harmon</w:t>
      </w:r>
      <w:r w:rsidR="001F431B">
        <w:rPr>
          <w:rFonts w:ascii="Calibri" w:eastAsia="Calibri" w:hAnsi="Calibri"/>
          <w:sz w:val="22"/>
          <w:szCs w:val="22"/>
        </w:rPr>
        <w:t>o</w:t>
      </w:r>
      <w:r>
        <w:rPr>
          <w:rFonts w:ascii="Calibri" w:eastAsia="Calibri" w:hAnsi="Calibri"/>
          <w:sz w:val="22"/>
          <w:szCs w:val="22"/>
        </w:rPr>
        <w:t>gram dostawy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77777777" w:rsidR="00D72378" w:rsidRDefault="00C00C91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Dostawca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Odbiorca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5A9E4BD0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5CF4CDF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3FF0A64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A3E70A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1BC17" w14:textId="77777777" w:rsidR="00235D5B" w:rsidRDefault="00235D5B">
      <w:r>
        <w:separator/>
      </w:r>
    </w:p>
  </w:endnote>
  <w:endnote w:type="continuationSeparator" w:id="0">
    <w:p w14:paraId="444D10A1" w14:textId="77777777" w:rsidR="00235D5B" w:rsidRDefault="0023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248BC" w14:textId="77777777" w:rsidR="00235D5B" w:rsidRDefault="00235D5B">
      <w:r>
        <w:separator/>
      </w:r>
    </w:p>
  </w:footnote>
  <w:footnote w:type="continuationSeparator" w:id="0">
    <w:p w14:paraId="47ED182D" w14:textId="77777777" w:rsidR="00235D5B" w:rsidRDefault="0023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56A" w14:textId="77777777" w:rsidR="00D72378" w:rsidRDefault="00C00C91">
    <w:pPr>
      <w:pStyle w:val="Nagwek"/>
    </w:pPr>
    <w:r>
      <w:rPr>
        <w:noProof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5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1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378"/>
    <w:rsid w:val="0001722F"/>
    <w:rsid w:val="00087715"/>
    <w:rsid w:val="00132F6C"/>
    <w:rsid w:val="00142947"/>
    <w:rsid w:val="00160BE3"/>
    <w:rsid w:val="00166063"/>
    <w:rsid w:val="001C56CD"/>
    <w:rsid w:val="001F431B"/>
    <w:rsid w:val="00235D5B"/>
    <w:rsid w:val="002929B6"/>
    <w:rsid w:val="002B32AD"/>
    <w:rsid w:val="002C6607"/>
    <w:rsid w:val="00337815"/>
    <w:rsid w:val="00372161"/>
    <w:rsid w:val="003838CE"/>
    <w:rsid w:val="00393CAC"/>
    <w:rsid w:val="003D2C60"/>
    <w:rsid w:val="00413BB0"/>
    <w:rsid w:val="00431DC3"/>
    <w:rsid w:val="004C2D1E"/>
    <w:rsid w:val="004E57A7"/>
    <w:rsid w:val="00542477"/>
    <w:rsid w:val="005555AF"/>
    <w:rsid w:val="005F7F15"/>
    <w:rsid w:val="00603910"/>
    <w:rsid w:val="006558FB"/>
    <w:rsid w:val="00697546"/>
    <w:rsid w:val="006A0001"/>
    <w:rsid w:val="006A3D27"/>
    <w:rsid w:val="006E5116"/>
    <w:rsid w:val="006E5A3B"/>
    <w:rsid w:val="007565A6"/>
    <w:rsid w:val="00783A3C"/>
    <w:rsid w:val="007A2458"/>
    <w:rsid w:val="007A77F8"/>
    <w:rsid w:val="00844A67"/>
    <w:rsid w:val="008655F9"/>
    <w:rsid w:val="008D3952"/>
    <w:rsid w:val="008D6EC3"/>
    <w:rsid w:val="00913168"/>
    <w:rsid w:val="00915658"/>
    <w:rsid w:val="009577E8"/>
    <w:rsid w:val="00962D8D"/>
    <w:rsid w:val="00967AD2"/>
    <w:rsid w:val="0099020F"/>
    <w:rsid w:val="009E61D9"/>
    <w:rsid w:val="00A1568F"/>
    <w:rsid w:val="00AA0819"/>
    <w:rsid w:val="00AD4AFC"/>
    <w:rsid w:val="00B20255"/>
    <w:rsid w:val="00B55855"/>
    <w:rsid w:val="00BD7409"/>
    <w:rsid w:val="00C00C91"/>
    <w:rsid w:val="00C07FD8"/>
    <w:rsid w:val="00C104E1"/>
    <w:rsid w:val="00C15E9C"/>
    <w:rsid w:val="00C70A5F"/>
    <w:rsid w:val="00CF07D0"/>
    <w:rsid w:val="00D71D9D"/>
    <w:rsid w:val="00D72378"/>
    <w:rsid w:val="00D957E8"/>
    <w:rsid w:val="00DA2B70"/>
    <w:rsid w:val="00DC71D4"/>
    <w:rsid w:val="00DF3034"/>
    <w:rsid w:val="00DF33D6"/>
    <w:rsid w:val="00DF73EA"/>
    <w:rsid w:val="00E114BA"/>
    <w:rsid w:val="00E400E7"/>
    <w:rsid w:val="00E83E3C"/>
    <w:rsid w:val="00EC48A5"/>
    <w:rsid w:val="00EE7BD3"/>
    <w:rsid w:val="00F353DA"/>
    <w:rsid w:val="00F81245"/>
    <w:rsid w:val="00FC74FA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  <w:style w:type="character" w:styleId="Hipercze">
    <w:name w:val="Hyperlink"/>
    <w:basedOn w:val="Domylnaczcionkaakapitu"/>
    <w:uiPriority w:val="99"/>
    <w:rsid w:val="009902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czyslaw.sedzikowski@ats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eczyslaw.sedzikowski@ats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eczyslaw.sedzikowski@ats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3290</Words>
  <Characters>19744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56</cp:revision>
  <cp:lastPrinted>2020-02-25T19:07:00Z</cp:lastPrinted>
  <dcterms:created xsi:type="dcterms:W3CDTF">2019-07-30T14:41:00Z</dcterms:created>
  <dcterms:modified xsi:type="dcterms:W3CDTF">2020-02-25T19:08:00Z</dcterms:modified>
</cp:coreProperties>
</file>