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61F44A08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5F7B33" w:rsidRPr="00B8136D">
        <w:rPr>
          <w:rFonts w:ascii="Calibri" w:eastAsia="Arial Unicode MS" w:hAnsi="Calibri" w:cs="Calibri"/>
          <w:sz w:val="22"/>
          <w:szCs w:val="22"/>
        </w:rPr>
        <w:t>29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095B20">
        <w:rPr>
          <w:rFonts w:ascii="Calibri" w:eastAsia="Arial Unicode MS" w:hAnsi="Calibri" w:cs="Calibri"/>
          <w:sz w:val="22"/>
          <w:szCs w:val="22"/>
        </w:rPr>
        <w:t>10</w:t>
      </w:r>
      <w:r>
        <w:rPr>
          <w:rFonts w:ascii="Calibri" w:eastAsia="Arial Unicode MS" w:hAnsi="Calibri" w:cs="Calibri"/>
          <w:sz w:val="22"/>
          <w:szCs w:val="22"/>
        </w:rPr>
        <w:t>.2019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3B47CC01" w14:textId="77777777" w:rsidR="00095B20" w:rsidRDefault="00095B20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866245"/>
      <w:bookmarkStart w:id="1" w:name="_Hlk20899506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na roboty budowlane w </w:t>
      </w:r>
      <w:bookmarkStart w:id="2" w:name="_Hlk20482617"/>
      <w:r>
        <w:rPr>
          <w:rFonts w:ascii="Calibri" w:hAnsi="Calibri" w:cs="Calibri"/>
          <w:b/>
          <w:bCs/>
          <w:sz w:val="22"/>
          <w:szCs w:val="22"/>
        </w:rPr>
        <w:t xml:space="preserve">zakresie utwardzenia placów, utwardzenie terminala na stacji kolejowej </w:t>
      </w:r>
    </w:p>
    <w:p w14:paraId="40F6C728" w14:textId="20323E73" w:rsidR="0089703C" w:rsidRPr="00095B20" w:rsidRDefault="00095B20" w:rsidP="00095B2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</w:p>
    <w:bookmarkEnd w:id="1"/>
    <w:bookmarkEnd w:id="2"/>
    <w:p w14:paraId="56431AAD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7617B9E4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End w:id="4"/>
      <w:r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095B20">
        <w:rPr>
          <w:rFonts w:ascii="Calibri" w:eastAsia="Arial Unicode MS" w:hAnsi="Calibri" w:cs="Calibri"/>
          <w:b/>
          <w:bCs/>
          <w:sz w:val="22"/>
          <w:szCs w:val="22"/>
        </w:rPr>
        <w:t>1</w:t>
      </w:r>
      <w:r>
        <w:rPr>
          <w:rFonts w:ascii="Calibri" w:eastAsia="Arial Unicode MS" w:hAnsi="Calibri" w:cs="Calibri"/>
          <w:b/>
          <w:bCs/>
          <w:sz w:val="22"/>
          <w:szCs w:val="22"/>
        </w:rPr>
        <w:t>/2019/</w:t>
      </w:r>
      <w:proofErr w:type="spellStart"/>
      <w:r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95B20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08C20A1F" w14:textId="431A8F15" w:rsidR="0089703C" w:rsidRPr="006736A2" w:rsidRDefault="00CC3F89">
      <w:pPr>
        <w:suppressAutoHyphens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>Szacunkowa wartość zamówienia –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3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911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917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>,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76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netto , 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>907279,67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zł/Euro)</w:t>
      </w: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71190D3D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4D366A" w:rsidRPr="004D366A">
        <w:rPr>
          <w:rFonts w:ascii="Calibri" w:eastAsia="Arial Unicode MS" w:hAnsi="Calibri" w:cs="Calibri"/>
          <w:b/>
          <w:bCs/>
          <w:sz w:val="22"/>
          <w:szCs w:val="22"/>
        </w:rPr>
        <w:t>45233200</w:t>
      </w:r>
      <w:r w:rsidR="004D366A">
        <w:rPr>
          <w:rFonts w:ascii="Calibri" w:eastAsia="Arial Unicode MS" w:hAnsi="Calibri" w:cs="Calibri"/>
          <w:b/>
          <w:bCs/>
          <w:sz w:val="22"/>
          <w:szCs w:val="22"/>
        </w:rPr>
        <w:t xml:space="preserve"> - </w:t>
      </w:r>
      <w:r w:rsidR="004D366A" w:rsidRPr="004D366A">
        <w:rPr>
          <w:rFonts w:ascii="Calibri" w:eastAsia="Arial Unicode MS" w:hAnsi="Calibri" w:cs="Calibri"/>
          <w:b/>
          <w:bCs/>
          <w:sz w:val="22"/>
          <w:szCs w:val="22"/>
        </w:rPr>
        <w:t>Roboty w zakresie różnych nawierzchni</w:t>
      </w:r>
      <w:r w:rsidR="004D366A">
        <w:rPr>
          <w:rFonts w:ascii="Calibri" w:eastAsia="Arial Unicode MS" w:hAnsi="Calibri" w:cs="Calibri"/>
          <w:b/>
          <w:bCs/>
          <w:sz w:val="22"/>
          <w:szCs w:val="22"/>
        </w:rPr>
        <w:t>.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Zapytanie ofertowe zostanie umieszczone na stronie internetowej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24EA8B01" w14:textId="08B9C914" w:rsidR="004B024C" w:rsidRPr="004B024C" w:rsidRDefault="004B024C" w:rsidP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Wykonane prace budowlane w zakresie</w:t>
      </w:r>
      <w:r w:rsidRPr="004B024C">
        <w:rPr>
          <w:rFonts w:ascii="Calibri" w:eastAsia="Arial Unicode MS" w:hAnsi="Calibri" w:cs="Calibri"/>
          <w:sz w:val="22"/>
          <w:szCs w:val="22"/>
        </w:rPr>
        <w:t xml:space="preserve"> utwardzenia placów, utwardzeni</w:t>
      </w:r>
      <w:r>
        <w:rPr>
          <w:rFonts w:ascii="Calibri" w:eastAsia="Arial Unicode MS" w:hAnsi="Calibri" w:cs="Calibri"/>
          <w:sz w:val="22"/>
          <w:szCs w:val="22"/>
        </w:rPr>
        <w:t>a</w:t>
      </w:r>
      <w:r w:rsidRPr="004B024C">
        <w:rPr>
          <w:rFonts w:ascii="Calibri" w:eastAsia="Arial Unicode MS" w:hAnsi="Calibri" w:cs="Calibri"/>
          <w:sz w:val="22"/>
          <w:szCs w:val="22"/>
        </w:rPr>
        <w:t xml:space="preserve"> terminala na stacji kolejowej </w:t>
      </w:r>
    </w:p>
    <w:p w14:paraId="2E56724D" w14:textId="2035D4E1" w:rsidR="004B024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4B024C">
        <w:rPr>
          <w:rFonts w:ascii="Calibri" w:eastAsia="Arial Unicode MS" w:hAnsi="Calibri" w:cs="Calibri"/>
          <w:sz w:val="22"/>
          <w:szCs w:val="22"/>
        </w:rPr>
        <w:t xml:space="preserve">Zamość – </w:t>
      </w:r>
      <w:r w:rsidR="007E1FC8" w:rsidRPr="007E1FC8">
        <w:rPr>
          <w:rFonts w:ascii="Calibri" w:eastAsia="Arial Unicode MS" w:hAnsi="Calibri" w:cs="Calibri"/>
          <w:sz w:val="22"/>
          <w:szCs w:val="22"/>
        </w:rPr>
        <w:t>Bortatycze</w:t>
      </w:r>
      <w:r>
        <w:rPr>
          <w:rFonts w:ascii="Calibri" w:eastAsia="Arial Unicode MS" w:hAnsi="Calibri" w:cs="Calibri"/>
          <w:sz w:val="22"/>
          <w:szCs w:val="22"/>
        </w:rPr>
        <w:t>, realizowane są w ramach projektu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</w:t>
      </w:r>
      <w:r w:rsidRPr="004B024C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="00F02F39">
        <w:rPr>
          <w:rFonts w:ascii="Calibri" w:eastAsia="Arial Unicode MS" w:hAnsi="Calibri" w:cs="Calibri"/>
          <w:sz w:val="22"/>
          <w:szCs w:val="22"/>
        </w:rPr>
        <w:t>”</w:t>
      </w:r>
    </w:p>
    <w:p w14:paraId="6DB2459B" w14:textId="0636C0F9" w:rsidR="0089703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Wykonanie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przedmiotu zamówienia niniejszego postępowania </w:t>
      </w:r>
      <w:r>
        <w:rPr>
          <w:rFonts w:ascii="Calibri" w:eastAsia="Arial Unicode MS" w:hAnsi="Calibri" w:cs="Calibri"/>
          <w:sz w:val="22"/>
          <w:szCs w:val="22"/>
        </w:rPr>
        <w:t xml:space="preserve">może być </w:t>
      </w:r>
      <w:r w:rsidR="00CC3F89">
        <w:rPr>
          <w:rFonts w:ascii="Calibri" w:eastAsia="Arial Unicode MS" w:hAnsi="Calibri" w:cs="Calibri"/>
          <w:sz w:val="22"/>
          <w:szCs w:val="22"/>
        </w:rPr>
        <w:t>współfinansowan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</w:t>
      </w:r>
      <w:r>
        <w:rPr>
          <w:rFonts w:ascii="Calibri" w:eastAsia="Arial Unicode MS" w:hAnsi="Calibri" w:cs="Calibri"/>
          <w:sz w:val="22"/>
          <w:szCs w:val="22"/>
        </w:rPr>
        <w:t xml:space="preserve"> (finansowanie warunkowe w przypadku otrzymania dofinansowania)</w:t>
      </w:r>
      <w:r w:rsidR="00CC3F89">
        <w:rPr>
          <w:rFonts w:ascii="Calibri" w:eastAsia="Arial Unicode MS" w:hAnsi="Calibri" w:cs="Calibri"/>
          <w:sz w:val="22"/>
          <w:szCs w:val="22"/>
        </w:rPr>
        <w:t>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5" w:name="_Hlk531254121"/>
      <w:bookmarkEnd w:id="5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6" w:name="_Hlk534623593"/>
      <w:bookmarkStart w:id="7" w:name="_Hlk3444320"/>
      <w:bookmarkEnd w:id="6"/>
      <w:bookmarkEnd w:id="7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40970071" w:rsidR="0089703C" w:rsidRPr="001E5F5E" w:rsidRDefault="00565EAC" w:rsidP="00565EAC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C3F89">
        <w:rPr>
          <w:rFonts w:ascii="Calibri" w:hAnsi="Calibri" w:cs="Calibri"/>
          <w:sz w:val="22"/>
          <w:szCs w:val="22"/>
        </w:rPr>
        <w:t xml:space="preserve">Przedmiotem zamówienia </w:t>
      </w:r>
      <w:r w:rsidR="00DF6F95">
        <w:rPr>
          <w:rFonts w:ascii="Calibri" w:hAnsi="Calibri" w:cs="Calibri"/>
          <w:sz w:val="22"/>
          <w:szCs w:val="22"/>
        </w:rPr>
        <w:t xml:space="preserve">są </w:t>
      </w:r>
      <w:r w:rsidR="00DF6F95" w:rsidRPr="001E5F5E">
        <w:rPr>
          <w:rFonts w:ascii="Calibri" w:hAnsi="Calibri" w:cs="Calibri"/>
          <w:b/>
          <w:bCs/>
          <w:sz w:val="22"/>
          <w:szCs w:val="22"/>
        </w:rPr>
        <w:t xml:space="preserve">roboty budowlane w zakresie utwardzenia placu terminala na stacji </w:t>
      </w:r>
      <w:r w:rsidR="00DF6F95" w:rsidRPr="001E5F5E">
        <w:rPr>
          <w:rFonts w:ascii="Calibri" w:hAnsi="Calibri" w:cs="Calibri"/>
          <w:b/>
          <w:bCs/>
          <w:sz w:val="22"/>
          <w:szCs w:val="22"/>
        </w:rPr>
        <w:lastRenderedPageBreak/>
        <w:t xml:space="preserve">kolejowej 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  <w:r w:rsidR="00CC3F89" w:rsidRPr="001E5F5E">
        <w:rPr>
          <w:rFonts w:ascii="Calibri" w:hAnsi="Calibri" w:cs="Calibri"/>
          <w:b/>
          <w:bCs/>
          <w:sz w:val="22"/>
          <w:szCs w:val="22"/>
        </w:rPr>
        <w:t>.</w:t>
      </w:r>
    </w:p>
    <w:p w14:paraId="2197C1F9" w14:textId="213E0216" w:rsidR="00565EAC" w:rsidRDefault="00CC3F89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wymaga, aby przedmiot zamówienia </w:t>
      </w:r>
      <w:r w:rsidR="001E5F5E">
        <w:rPr>
          <w:rFonts w:ascii="Calibri" w:eastAsia="Arial Unicode MS" w:hAnsi="Calibri" w:cs="Calibri"/>
          <w:sz w:val="22"/>
          <w:szCs w:val="22"/>
        </w:rPr>
        <w:t>realizowany przez</w:t>
      </w:r>
      <w:r>
        <w:rPr>
          <w:rFonts w:ascii="Calibri" w:eastAsia="Arial Unicode MS" w:hAnsi="Calibri" w:cs="Calibri"/>
          <w:sz w:val="22"/>
          <w:szCs w:val="22"/>
        </w:rPr>
        <w:t xml:space="preserve"> Wykonawców był </w:t>
      </w:r>
      <w:r w:rsidR="001E5F5E">
        <w:rPr>
          <w:rFonts w:ascii="Calibri" w:eastAsia="Arial Unicode MS" w:hAnsi="Calibri" w:cs="Calibri"/>
          <w:sz w:val="22"/>
          <w:szCs w:val="22"/>
        </w:rPr>
        <w:t xml:space="preserve">zgodny z </w:t>
      </w:r>
      <w:r w:rsidR="001E5F5E" w:rsidRPr="001E5F5E">
        <w:rPr>
          <w:rFonts w:ascii="Calibri" w:eastAsia="Arial Unicode MS" w:hAnsi="Calibri" w:cs="Calibri"/>
          <w:b/>
          <w:bCs/>
          <w:sz w:val="22"/>
          <w:szCs w:val="22"/>
        </w:rPr>
        <w:t>Załącznikiem nr 1 do zapytania ofertowego – Przedmiarem Robót</w:t>
      </w:r>
      <w:r w:rsid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oraz Załącznikiem nr 2 do zapytania ofertowego - wydanym prawomocnym pozwoleniem na budowę wydanym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t>Wojewody Lubelskiego z 12.12.2017.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W przypadku wystąpienia konieczności Wykonawca zobligowany będzie do opracowania projektu zamiennego w zakresie objętym zapytaniem. </w:t>
      </w:r>
    </w:p>
    <w:p w14:paraId="2ABE695C" w14:textId="48CF047B" w:rsid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>Wykonawca wykona przedmiot zamówienia na podstawie dokumentacji projektowej, przedmiaru robót, ustaleń warunków zamówienia, zgodnie z obowiązującymi przepisami szczegółowymi i sztuką budowlaną wraz z okresem gwarancji.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Zamawiający zaleca, aby przed złożeniem oferty potencjalny wykonawca dokonał oględzin terenu inwestycji. </w:t>
      </w:r>
    </w:p>
    <w:p w14:paraId="41A7EDF6" w14:textId="4FE70D5E" w:rsidR="009B68E6" w:rsidRPr="009B68E6" w:rsidRDefault="00565EAC" w:rsidP="009B68E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 xml:space="preserve">Zamawiający wymaga, by </w:t>
      </w:r>
      <w:r w:rsidRPr="00094558">
        <w:rPr>
          <w:rFonts w:ascii="Calibri" w:eastAsia="Arial Unicode MS" w:hAnsi="Calibri" w:cs="Calibri"/>
          <w:b/>
          <w:bCs/>
          <w:sz w:val="22"/>
          <w:szCs w:val="22"/>
        </w:rPr>
        <w:t>gwarancja</w:t>
      </w:r>
      <w:r w:rsidRPr="00565EAC">
        <w:rPr>
          <w:rFonts w:ascii="Calibri" w:eastAsia="Arial Unicode MS" w:hAnsi="Calibri" w:cs="Calibri"/>
          <w:sz w:val="22"/>
          <w:szCs w:val="22"/>
        </w:rPr>
        <w:t xml:space="preserve"> na wykonane roboty wynosiła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minimum </w:t>
      </w:r>
      <w:r w:rsidR="00237D8F">
        <w:rPr>
          <w:rFonts w:ascii="Calibri" w:eastAsia="Arial Unicode MS" w:hAnsi="Calibri" w:cs="Calibri"/>
          <w:b/>
          <w:bCs/>
          <w:sz w:val="22"/>
          <w:szCs w:val="22"/>
        </w:rPr>
        <w:t>60</w:t>
      </w:r>
      <w:r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miesięc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>y</w:t>
      </w:r>
      <w:r w:rsidR="004A6BF6">
        <w:rPr>
          <w:rFonts w:ascii="Calibri" w:eastAsia="Arial Unicode MS" w:hAnsi="Calibri" w:cs="Calibri"/>
          <w:b/>
          <w:bCs/>
          <w:sz w:val="22"/>
          <w:szCs w:val="22"/>
        </w:rPr>
        <w:t xml:space="preserve"> (5 lat)</w:t>
      </w:r>
      <w:r w:rsidR="00094558">
        <w:rPr>
          <w:rFonts w:ascii="Calibri" w:eastAsia="Arial Unicode MS" w:hAnsi="Calibri" w:cs="Calibri"/>
          <w:sz w:val="22"/>
          <w:szCs w:val="22"/>
        </w:rPr>
        <w:t xml:space="preserve">, </w:t>
      </w:r>
      <w:r w:rsidRPr="00565EAC">
        <w:rPr>
          <w:rFonts w:ascii="Calibri" w:eastAsia="Arial Unicode MS" w:hAnsi="Calibri" w:cs="Calibri"/>
          <w:sz w:val="22"/>
          <w:szCs w:val="22"/>
        </w:rPr>
        <w:t>licząc od dnia protokolarnego ostatecznego odbioru robót.</w:t>
      </w:r>
    </w:p>
    <w:p w14:paraId="24DC2E35" w14:textId="77777777" w:rsidR="00565EAC" w:rsidRP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Dokumentacja projektowa może wskazywać dla niektórych materiałów i urządzeń znaki towarowe lub pochodzenie. Zamawiający dopuszcza składanie ofert równoważnych, a wszelkie towary określone w dokumentacji, pochodzące od konkretnych producentów, określają minimalne parametry jakościowe i cechy użytkowe, jakim muszą odpowiadać towary, aby spełnić wymagania stawiane przez Zamawiającego. Poprzez zapis dotyczący minimalnych parametrów jakościowych wymagań Zamawiający rozumie wymagania towarów zawarte w ogólnie dostępnych źródłach, katalogach, stronach internetowych producentów. Operowanie przykładowymi nazwami producenta, ma jedynie na celu doprecyzowanie poziomu oczekiwań Zamawiającego w stosunku do określonego rozwiązania. Zamawiający przy opisie przedmiotu zamówienia wskazując oznaczenie konkretnego producenta (dostawcy) lub konkretny produkt, dopuszcza jednocześnie produkty równoważne o parametrach jakościowych i cechach użytkowych co najmniej na poziomie parametrów wskazanego produktu, uznając tym samym każdy produkt o wskazanych parametrach lub lepszych. Posługiwanie się nazwami producentów/produktów ma wyłącznie charakter przykładowy.</w:t>
      </w:r>
    </w:p>
    <w:p w14:paraId="1D1FE239" w14:textId="77777777" w:rsidR="00BD1245" w:rsidRDefault="00565EA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Wykonawca, który zastosował produkt równoważny, ma obowiązek wskazać w swojej ofercie, jakie materiały lub urządzenia zostały zamienione, i określić, jakie materiały i urządzenia w ich miejsce proponuje, podając ich parametry techniczne.</w:t>
      </w:r>
    </w:p>
    <w:p w14:paraId="46C255A1" w14:textId="6A3F6558" w:rsidR="00565EAC" w:rsidRPr="00BD1245" w:rsidRDefault="00B6519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hAnsi="Calibri" w:cs="Calibri"/>
          <w:sz w:val="22"/>
          <w:szCs w:val="22"/>
        </w:rPr>
        <w:t>Zamawiający dopuszcza zastosowanie przez Wykonawców rozwiązań równoważnych w stosunku do rozwiązań opisanych w niniejszym Zapytaniu Ofertowym. Wykonawca, który w ofercie powoła się na zastosowanie rozwiązań równoważnych opisywanych w Zapytaniu Ofertowym, jest obowiązany wykazać, że oferowane przez niego roboty budowlane spełniają wymagania określone przez Zamawiającego.</w:t>
      </w:r>
      <w:r w:rsidR="00BD1245" w:rsidRPr="00BD1245">
        <w:t xml:space="preserve"> </w:t>
      </w:r>
      <w:r w:rsidR="00BD1245" w:rsidRPr="00BD1245">
        <w:rPr>
          <w:rFonts w:ascii="Calibri" w:hAnsi="Calibri" w:cs="Calibri"/>
          <w:sz w:val="22"/>
          <w:szCs w:val="22"/>
        </w:rPr>
        <w:t>Obowiązek wykazania równoważności oferowanych rozwiązań spoczywa na Wykonawcy. W przypadku uchybienia temu obowiązkowi - oferta Wykonawcy zostanie odrzucona.</w:t>
      </w:r>
    </w:p>
    <w:p w14:paraId="3C94A62A" w14:textId="3995C485" w:rsidR="0089703C" w:rsidRDefault="00CC3F89" w:rsidP="00B6519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Oferowany przedmiot zamówienia winien </w:t>
      </w:r>
      <w:r w:rsidR="00B6519C">
        <w:rPr>
          <w:rFonts w:ascii="Calibri" w:eastAsia="Arial Unicode MS" w:hAnsi="Calibri" w:cs="Calibri"/>
          <w:sz w:val="22"/>
          <w:szCs w:val="22"/>
        </w:rPr>
        <w:t xml:space="preserve">być zgodny z w/w dokumentami i </w:t>
      </w:r>
      <w:r>
        <w:rPr>
          <w:rFonts w:ascii="Calibri" w:eastAsia="Arial Unicode MS" w:hAnsi="Calibri" w:cs="Calibri"/>
          <w:sz w:val="22"/>
          <w:szCs w:val="22"/>
        </w:rPr>
        <w:t>spełniać w szczególności następujące minimalne wymagania:</w:t>
      </w:r>
    </w:p>
    <w:p w14:paraId="41A0F676" w14:textId="0BFBEC0C" w:rsidR="00B6519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Roboty pomiarowe przy powierzchniowych robotach ziemnych – niwelacja terenu pod obiekty inżynieryjne – 1,790 ha</w:t>
      </w:r>
    </w:p>
    <w:p w14:paraId="5A9B4068" w14:textId="2011A246" w:rsidR="00812E7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Mechaniczne profilowanie i zagęszczanie podłoża pod warstwy konstrukcyjne nawierzchni w gruncie kat. I-IV, równanie wykonanej podbudowy – 18022,000 m2</w:t>
      </w:r>
    </w:p>
    <w:p w14:paraId="70EE6EE3" w14:textId="62824658" w:rsidR="00812E7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Nawierzchnia betonowa – warstwa dolna o grubości 20cm – podbudowa dla położenia kostki brukowej – 7172,000 m2</w:t>
      </w:r>
    </w:p>
    <w:p w14:paraId="3AD180F3" w14:textId="6AA52D46" w:rsidR="00812E7C" w:rsidRDefault="00812E7C" w:rsidP="00812E7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Nawierzchnia z </w:t>
      </w:r>
      <w:r w:rsidR="00CB0601">
        <w:rPr>
          <w:rFonts w:ascii="Calibri" w:hAnsi="Calibri" w:cs="Calibri"/>
          <w:sz w:val="22"/>
          <w:szCs w:val="22"/>
        </w:rPr>
        <w:t>kostki brukowej betonowej o grubości 10 cm na podsypce cementowo-piaskowej - 7172,000 m2</w:t>
      </w:r>
    </w:p>
    <w:p w14:paraId="2D459C19" w14:textId="488006AE" w:rsidR="00812E7C" w:rsidRDefault="00CB0601" w:rsidP="00812E7C">
      <w:pPr>
        <w:pStyle w:val="Akapitzlist"/>
        <w:jc w:val="both"/>
        <w:rPr>
          <w:rFonts w:ascii="Calibri" w:hAnsi="Calibri" w:cs="Calibri"/>
          <w:b/>
          <w:bCs/>
          <w:sz w:val="22"/>
          <w:szCs w:val="22"/>
        </w:rPr>
      </w:pPr>
      <w:r w:rsidRPr="00BD1245">
        <w:rPr>
          <w:rFonts w:ascii="Calibri" w:hAnsi="Calibri" w:cs="Calibri"/>
          <w:b/>
          <w:bCs/>
          <w:sz w:val="22"/>
          <w:szCs w:val="22"/>
          <w:u w:val="single"/>
        </w:rPr>
        <w:t>Parametry i technologia robót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3C6633F9" w14:textId="2B59667D" w:rsidR="00CB0601" w:rsidRP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t xml:space="preserve">- ustawienie krawężnika drogowego na ławie betonowej wzdłuż toru nr 220  </w:t>
      </w:r>
    </w:p>
    <w:p w14:paraId="37E4AD8D" w14:textId="572EF2C1" w:rsidR="00CB0601" w:rsidRP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lastRenderedPageBreak/>
        <w:t>- zgrubne wyrównanie terenu do odpowiednich rzędnych i dogęszczenie mechaniczne</w:t>
      </w:r>
    </w:p>
    <w:p w14:paraId="5AE2C8BF" w14:textId="4EA2C87A" w:rsidR="00CB0601" w:rsidRP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t xml:space="preserve">- dostarczenie i rozłożenie  podsypki cementowo piaskowej </w:t>
      </w:r>
    </w:p>
    <w:p w14:paraId="728D253D" w14:textId="13E8D0AF" w:rsidR="00CB0601" w:rsidRDefault="00CB0601" w:rsidP="00CB0601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0601">
        <w:rPr>
          <w:rFonts w:ascii="Calibri" w:hAnsi="Calibri" w:cs="Calibri"/>
          <w:sz w:val="22"/>
          <w:szCs w:val="22"/>
        </w:rPr>
        <w:t>- dostarczenie , ułożenie kostki , zagęszczenie i zaklinowanie piaskie</w:t>
      </w:r>
      <w:r>
        <w:rPr>
          <w:rFonts w:ascii="Calibri" w:hAnsi="Calibri" w:cs="Calibri"/>
          <w:sz w:val="22"/>
          <w:szCs w:val="22"/>
        </w:rPr>
        <w:t>m.</w:t>
      </w:r>
    </w:p>
    <w:p w14:paraId="659A9360" w14:textId="099EA117" w:rsidR="00CB0601" w:rsidRDefault="00CB0601" w:rsidP="00CB06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</w:t>
      </w:r>
      <w:r w:rsidR="00CB6C53">
        <w:rPr>
          <w:rFonts w:ascii="Calibri" w:hAnsi="Calibri" w:cs="Calibri"/>
          <w:sz w:val="22"/>
          <w:szCs w:val="22"/>
        </w:rPr>
        <w:t>Nawierzchnia betonowa z dylatacjami – warstwa górna o grubości 35 cm – 10850,000 m2</w:t>
      </w:r>
    </w:p>
    <w:p w14:paraId="213EDC8B" w14:textId="4ECD2A22" w:rsidR="00CB6C53" w:rsidRPr="00BD1245" w:rsidRDefault="00CB6C53" w:rsidP="00CB6C53">
      <w:pPr>
        <w:pStyle w:val="Akapitzli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1245">
        <w:rPr>
          <w:rFonts w:ascii="Calibri" w:hAnsi="Calibri" w:cs="Calibri"/>
          <w:b/>
          <w:bCs/>
          <w:sz w:val="22"/>
          <w:szCs w:val="22"/>
          <w:u w:val="single"/>
        </w:rPr>
        <w:t>Parametry materiałowe:</w:t>
      </w:r>
    </w:p>
    <w:p w14:paraId="49C1EB1D" w14:textId="4C292742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Beton drogowy klasy C40/45, na kruszywach łamanych, klasa ekspozycji XC4; XF4, wodoodporność W8-W10, mrozoodporność F200.</w:t>
      </w:r>
    </w:p>
    <w:p w14:paraId="2F65A708" w14:textId="684185FC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Zwiększona wytrzymałość równoważna betonu  na rozciąganie przy zginaniu - oczekiwane  8MPa, przy jednoczesnym ograniczeniu ilości cementu do 360kg/m3, i </w:t>
      </w:r>
      <w:proofErr w:type="spellStart"/>
      <w:r w:rsidRPr="00CB6C53">
        <w:rPr>
          <w:rFonts w:ascii="Calibri" w:hAnsi="Calibri" w:cs="Calibri"/>
          <w:sz w:val="22"/>
          <w:szCs w:val="22"/>
        </w:rPr>
        <w:t>zadozowaniu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 grubej frakcji kruszywa 16-34mm w udziale 25%</w:t>
      </w:r>
    </w:p>
    <w:p w14:paraId="69C59C2B" w14:textId="6767132A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Niski punkt piaskowy &lt; 35.</w:t>
      </w:r>
    </w:p>
    <w:p w14:paraId="2FD633BE" w14:textId="0226DA18" w:rsid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Niskie w/c &lt; 40 poprzez dodanie odpowiednich środków upłynniających do betonu z grupy </w:t>
      </w:r>
      <w:proofErr w:type="spellStart"/>
      <w:r w:rsidRPr="00CB6C53">
        <w:rPr>
          <w:rFonts w:ascii="Calibri" w:hAnsi="Calibri" w:cs="Calibri"/>
          <w:sz w:val="22"/>
          <w:szCs w:val="22"/>
        </w:rPr>
        <w:t>superplastyfikatorów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 i polimerów. Pożądana konsystencja na budowie 10-12 cm badana stożkiem opadowym.</w:t>
      </w:r>
    </w:p>
    <w:p w14:paraId="27896DA3" w14:textId="07F0A1D9" w:rsidR="00CB6C53" w:rsidRPr="00BD1245" w:rsidRDefault="00CB6C53" w:rsidP="00CB6C53">
      <w:pPr>
        <w:pStyle w:val="Akapitzli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D1245">
        <w:rPr>
          <w:rFonts w:ascii="Calibri" w:hAnsi="Calibri" w:cs="Calibri"/>
          <w:b/>
          <w:bCs/>
          <w:sz w:val="22"/>
          <w:szCs w:val="22"/>
          <w:u w:val="single"/>
        </w:rPr>
        <w:t>Technologia robót:</w:t>
      </w:r>
    </w:p>
    <w:p w14:paraId="37F185AD" w14:textId="62FF02DB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mechaniczne wyrównanie istniejącej nawierzchni betonowej do odpowiedniej rzędnej, mechaniczne dogęszczenie podbudowy, </w:t>
      </w:r>
    </w:p>
    <w:p w14:paraId="47A20973" w14:textId="273B6B33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podniesienie wpustów  kanalizacyjnych do odpowiednich rzędnych</w:t>
      </w:r>
    </w:p>
    <w:p w14:paraId="2E51652F" w14:textId="7337CE9D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ułożenie warstwy poślizgowej z folii 0,3mm</w:t>
      </w:r>
    </w:p>
    <w:p w14:paraId="03A37ED7" w14:textId="360795BA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szalowanie pól roboczych - pasy o szerokości max 5m.</w:t>
      </w:r>
    </w:p>
    <w:p w14:paraId="3245AB83" w14:textId="22EB3B64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przygotowanie i montaż dybli stalowych ze stali S355, średnicy fi 35mm, długość dybla 60 cm, montowany w każdej dylatacji roboczej i skurczowej ( nacinanej) w rozstawie co 40cm.</w:t>
      </w:r>
    </w:p>
    <w:p w14:paraId="35D19D47" w14:textId="0F8327D4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wykonanie dylatacji rozprężnych co 30m poprzez zastosowanie przekładki z pianki PE grubości 10mm.</w:t>
      </w:r>
    </w:p>
    <w:p w14:paraId="458B7AB8" w14:textId="7CEADBC8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 xml:space="preserve">- dostarczenie betonu wg. opisanej receptury, ułożenie nawierzchni grubości 35cm, zawibrowanie wibratorem </w:t>
      </w:r>
      <w:proofErr w:type="spellStart"/>
      <w:r w:rsidRPr="00CB6C53">
        <w:rPr>
          <w:rFonts w:ascii="Calibri" w:hAnsi="Calibri" w:cs="Calibri"/>
          <w:sz w:val="22"/>
          <w:szCs w:val="22"/>
        </w:rPr>
        <w:t>pogrążalnym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, wyprofilowanie i wygładzenie powierzchni, naniesienie odpowiedniej struktury i zaimpregnowanie odpowiednim </w:t>
      </w:r>
      <w:proofErr w:type="spellStart"/>
      <w:r w:rsidRPr="00CB6C53">
        <w:rPr>
          <w:rFonts w:ascii="Calibri" w:hAnsi="Calibri" w:cs="Calibri"/>
          <w:sz w:val="22"/>
          <w:szCs w:val="22"/>
        </w:rPr>
        <w:t>pielęgnatorem</w:t>
      </w:r>
      <w:proofErr w:type="spellEnd"/>
      <w:r w:rsidRPr="00CB6C53">
        <w:rPr>
          <w:rFonts w:ascii="Calibri" w:hAnsi="Calibri" w:cs="Calibri"/>
          <w:sz w:val="22"/>
          <w:szCs w:val="22"/>
        </w:rPr>
        <w:t xml:space="preserve"> na bazie parafiny.</w:t>
      </w:r>
    </w:p>
    <w:p w14:paraId="12EFBB17" w14:textId="0A21AC1F" w:rsidR="00CB6C53" w:rsidRP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Nacięcie dylatacji skurczowych w odcinkach co 5m na głębokość 1/3 płyty.</w:t>
      </w:r>
    </w:p>
    <w:p w14:paraId="357DC3B2" w14:textId="4DAEBF9A" w:rsidR="00CB6C53" w:rsidRDefault="00CB6C53" w:rsidP="00CB6C53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CB6C53">
        <w:rPr>
          <w:rFonts w:ascii="Calibri" w:hAnsi="Calibri" w:cs="Calibri"/>
          <w:sz w:val="22"/>
          <w:szCs w:val="22"/>
        </w:rPr>
        <w:t>- Wypełnienie dylatacji masą PU.</w:t>
      </w:r>
    </w:p>
    <w:p w14:paraId="43F95F52" w14:textId="2DD257FF" w:rsidR="00CB6C53" w:rsidRDefault="00CB6C53" w:rsidP="00CB6C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Montaż studzienek ściekowych podwórzowych, po rozbiórce</w:t>
      </w:r>
      <w:r w:rsidR="004D7666">
        <w:rPr>
          <w:rFonts w:ascii="Calibri" w:hAnsi="Calibri" w:cs="Calibri"/>
          <w:sz w:val="22"/>
          <w:szCs w:val="22"/>
        </w:rPr>
        <w:t xml:space="preserve"> istniejących</w:t>
      </w:r>
      <w:r>
        <w:rPr>
          <w:rFonts w:ascii="Calibri" w:hAnsi="Calibri" w:cs="Calibri"/>
          <w:sz w:val="22"/>
          <w:szCs w:val="22"/>
        </w:rPr>
        <w:t xml:space="preserve"> – 19 sztuk</w:t>
      </w:r>
    </w:p>
    <w:p w14:paraId="731FD2F5" w14:textId="135ED263" w:rsidR="00CB6C53" w:rsidRDefault="00CB6C53" w:rsidP="00CB6C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g) Oczyszczanie kanalizacji deszczowej – 700 m. </w:t>
      </w:r>
    </w:p>
    <w:p w14:paraId="37B9E905" w14:textId="7909B980" w:rsidR="00CB6C53" w:rsidRPr="00CB6C53" w:rsidRDefault="00CB6C53" w:rsidP="00CB6C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h) Utwardzenie pasa przy terminalu z kruszywa łamanego – warstwa górna o grubości po zagęszczeniu 35 cm. </w:t>
      </w:r>
    </w:p>
    <w:p w14:paraId="681CA053" w14:textId="3FA4C7C3" w:rsidR="0089703C" w:rsidRPr="00BD1245" w:rsidRDefault="0089703C" w:rsidP="00BD1245">
      <w:pPr>
        <w:jc w:val="both"/>
        <w:rPr>
          <w:rFonts w:ascii="Calibri" w:hAnsi="Calibri" w:cs="Calibri"/>
          <w:sz w:val="22"/>
          <w:szCs w:val="22"/>
        </w:rPr>
      </w:pPr>
    </w:p>
    <w:p w14:paraId="75678038" w14:textId="6517E18E" w:rsidR="0089703C" w:rsidRPr="007457C4" w:rsidRDefault="00CC3F89" w:rsidP="007457C4">
      <w:pPr>
        <w:pStyle w:val="Akapitzlist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57C4">
        <w:rPr>
          <w:rFonts w:ascii="Calibri" w:hAnsi="Calibri" w:cs="Calibri"/>
          <w:sz w:val="22"/>
          <w:szCs w:val="22"/>
        </w:rPr>
        <w:t xml:space="preserve">Wykonawca zobowiązany jest do dodatkowego oznakowania </w:t>
      </w:r>
      <w:r w:rsidR="00BD1245" w:rsidRPr="007457C4">
        <w:rPr>
          <w:rFonts w:ascii="Calibri" w:hAnsi="Calibri" w:cs="Calibri"/>
          <w:sz w:val="22"/>
          <w:szCs w:val="22"/>
        </w:rPr>
        <w:t>miejsca realizacji inwestycji tablicą pamiątkową/</w:t>
      </w:r>
      <w:r w:rsidRPr="007457C4">
        <w:rPr>
          <w:rFonts w:ascii="Calibri" w:hAnsi="Calibri" w:cs="Calibri"/>
          <w:sz w:val="22"/>
          <w:szCs w:val="22"/>
        </w:rPr>
        <w:t xml:space="preserve">informacyjną opracowaną w uzgodnieniu z Zamawiającym i wykonaną z materiału zapewniającego czytelność informacji przez okres minimum 6 lat. </w:t>
      </w:r>
    </w:p>
    <w:p w14:paraId="233CE36E" w14:textId="1FFACB23" w:rsidR="009813F9" w:rsidRPr="009813F9" w:rsidRDefault="00CC3F89" w:rsidP="007457C4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eastAsia="Arial Unicode MS" w:hAnsi="Calibri" w:cs="Calibri"/>
          <w:sz w:val="22"/>
          <w:szCs w:val="22"/>
        </w:rPr>
        <w:t>Odbiór techniczny przedmiotu zamówienia będzie dokonywany przez Zamawiającego, na warunkach określonych w umowie</w:t>
      </w:r>
      <w:r w:rsidR="00BD1245">
        <w:rPr>
          <w:rFonts w:ascii="Calibri" w:eastAsia="Arial Unicode MS" w:hAnsi="Calibri" w:cs="Calibri"/>
          <w:sz w:val="22"/>
          <w:szCs w:val="22"/>
        </w:rPr>
        <w:t xml:space="preserve">. Odbiór nastąpi w miejscu realizacji inwestycji.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Odbiór nastąpi po zatwierdzeniu bezusterkowego protokołu odbioru technicznego oraz po uzyskaniu pozwolenia na użytkowanie (konieczność uzyskania pozwolenia na użytkowanie leży po stronie Wykonawcy przy współpracy z przedstawicielem Zamawiającego). 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8" w:name="_Hlk531256468"/>
      <w:bookmarkStart w:id="9" w:name="_Hlk3447109"/>
      <w:bookmarkEnd w:id="8"/>
      <w:bookmarkEnd w:id="9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486657EA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lub miejsce zamieszkania poza terytorium Rzeczypospolitej Polskiej: zamiast dokumentów wskazanych w punkcie a) składa -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w kraju, w którym wykonawca ma siedzibę lub miejsce zamieszkania nie wydaje się dokumentu, o którym mowa w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ppkt</w:t>
      </w:r>
      <w:proofErr w:type="spellEnd"/>
      <w:r>
        <w:rPr>
          <w:rFonts w:ascii="Calibri" w:eastAsia="Arial Unicode MS" w:hAnsi="Calibri" w:cs="Calibri"/>
          <w:sz w:val="22"/>
          <w:szCs w:val="22"/>
        </w:rPr>
        <w:t>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2AE5846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Załącznik nr </w:t>
      </w:r>
      <w:r w:rsidR="00EA0F5E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0" w:name="_Hlk3447129"/>
      <w:bookmarkEnd w:id="10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683D8527" w14:textId="29B25E2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1" w:name="_Hlk3447153"/>
      <w:bookmarkEnd w:id="11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 oraz wobec Wykonawcy nie jest prowadzone postępowanie upadłościowe. 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1B2A0DBA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75D59E9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3) Doświadczenie wykonawcy:</w:t>
      </w:r>
    </w:p>
    <w:p w14:paraId="134F021C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5910A411" w14:textId="28659E20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udokumentowane doświadczenie w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realizacji robót budowlanych </w:t>
      </w:r>
      <w:r w:rsidR="009813F9" w:rsidRPr="009813F9">
        <w:rPr>
          <w:rFonts w:ascii="Calibri" w:eastAsia="Arial Unicode MS" w:hAnsi="Calibri" w:cs="Calibri"/>
          <w:sz w:val="22"/>
          <w:szCs w:val="22"/>
        </w:rPr>
        <w:t xml:space="preserve">w zakresie utwardzenia placów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dla celów działalności przeładunkowej lub w zakresie budowy dróg. </w:t>
      </w:r>
      <w:r w:rsidR="001540E9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6E730D58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4ED3DBC2" w14:textId="66DDAD85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uzna warunek za spełniony, jeżeli Wykonawca wykaże (udokumentuje) </w:t>
      </w:r>
      <w:bookmarkStart w:id="12" w:name="_Hlk20899426"/>
      <w:r>
        <w:rPr>
          <w:rFonts w:ascii="Calibri" w:eastAsia="Arial Unicode MS" w:hAnsi="Calibri" w:cs="Calibri"/>
          <w:sz w:val="22"/>
          <w:szCs w:val="22"/>
        </w:rPr>
        <w:t xml:space="preserve">2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roboty budowlane </w:t>
      </w:r>
      <w:r w:rsidR="009813F9" w:rsidRPr="009813F9">
        <w:rPr>
          <w:rFonts w:ascii="Calibri" w:eastAsia="Arial Unicode MS" w:hAnsi="Calibri" w:cs="Calibri"/>
          <w:sz w:val="22"/>
          <w:szCs w:val="22"/>
        </w:rPr>
        <w:t xml:space="preserve">w zakresie utwardzenia placów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dla celów działalności przeładunkowej lub w zakresie budowy dróg. </w:t>
      </w:r>
      <w:bookmarkEnd w:id="12"/>
      <w:r>
        <w:rPr>
          <w:rFonts w:ascii="Calibri" w:eastAsia="Arial Unicode MS" w:hAnsi="Calibri" w:cs="Calibri"/>
          <w:sz w:val="22"/>
          <w:szCs w:val="22"/>
        </w:rPr>
        <w:t xml:space="preserve">Wskazany powyżej warunek weryfikowany będzie w okresie ostatnich trzech lat przed dniem wszczęcia postępowania do minimalnie dwóch podmiotów. Ocena spełnienia kryterium nastąpi na podstawie załączonych referencji od podmiotu (odbiorcy dostaw) potwierdzające prawidłowe wykonanie </w:t>
      </w:r>
      <w:r w:rsidR="009813F9">
        <w:rPr>
          <w:rFonts w:ascii="Calibri" w:eastAsia="Arial Unicode MS" w:hAnsi="Calibri" w:cs="Calibri"/>
          <w:sz w:val="22"/>
          <w:szCs w:val="22"/>
        </w:rPr>
        <w:t>wykazanych rodzajów robót budowlanych</w:t>
      </w:r>
      <w:r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30A285CF" w14:textId="5895DFDA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Dane dotyczące zrealizowanych dostaw należy wskazać w oświadczeniu, którego treść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</w:p>
    <w:p w14:paraId="65F411FD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5F63152A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3" w:name="_Hlk531256491"/>
      <w:bookmarkEnd w:id="13"/>
      <w:r>
        <w:rPr>
          <w:rFonts w:ascii="Calibri" w:eastAsia="Arial Unicode MS" w:hAnsi="Calibri" w:cs="Calibri"/>
          <w:sz w:val="22"/>
          <w:szCs w:val="22"/>
        </w:rPr>
        <w:t xml:space="preserve">4) </w:t>
      </w:r>
      <w:r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772FC891" w14:textId="3CA9ED4C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6. </w:t>
      </w:r>
      <w:r>
        <w:rPr>
          <w:rFonts w:ascii="Calibri" w:eastAsia="Arial Unicode MS" w:hAnsi="Calibri" w:cs="Calibri"/>
          <w:sz w:val="22"/>
          <w:szCs w:val="22"/>
        </w:rPr>
        <w:t xml:space="preserve">Zapytania ofertowego wraz z przedmiotem zamówienia </w:t>
      </w:r>
      <w:r w:rsidR="004D7666">
        <w:rPr>
          <w:rFonts w:ascii="Calibri" w:eastAsia="Arial Unicode MS" w:hAnsi="Calibri" w:cs="Calibri"/>
          <w:sz w:val="22"/>
          <w:szCs w:val="22"/>
        </w:rPr>
        <w:t xml:space="preserve">i </w:t>
      </w:r>
      <w:r w:rsidR="009813F9">
        <w:rPr>
          <w:rFonts w:ascii="Calibri" w:eastAsia="Arial Unicode MS" w:hAnsi="Calibri" w:cs="Calibri"/>
          <w:sz w:val="22"/>
          <w:szCs w:val="22"/>
        </w:rPr>
        <w:t>odbiorem technicznym przedmiotu zamówienia.</w:t>
      </w:r>
      <w:r>
        <w:rPr>
          <w:rFonts w:ascii="Calibri" w:eastAsia="Arial Unicode MS" w:hAnsi="Calibri" w:cs="Calibri"/>
          <w:sz w:val="22"/>
          <w:szCs w:val="22"/>
        </w:rPr>
        <w:t xml:space="preserve"> 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7F2E5A7C" w14:textId="77777777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 i jest dostępny po kliknięciu w link na końcu zapytania. </w:t>
      </w:r>
    </w:p>
    <w:p w14:paraId="305231F9" w14:textId="33EFB6E9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4" w:name="_Hlk531256560"/>
      <w:bookmarkEnd w:id="14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 xml:space="preserve">nie dłuższym niż </w:t>
      </w:r>
      <w:r w:rsidR="00FA6A97" w:rsidRPr="00B8136D">
        <w:rPr>
          <w:rFonts w:ascii="Calibri" w:eastAsia="Arial Unicode MS" w:hAnsi="Calibri" w:cs="Calibri"/>
          <w:b/>
          <w:bCs/>
          <w:sz w:val="22"/>
          <w:szCs w:val="22"/>
        </w:rPr>
        <w:t>8</w:t>
      </w:r>
      <w:r w:rsidR="00CC3F89" w:rsidRPr="00B8136D">
        <w:rPr>
          <w:rFonts w:ascii="Calibri" w:eastAsia="Arial Unicode MS" w:hAnsi="Calibri" w:cs="Calibri"/>
          <w:b/>
          <w:bCs/>
          <w:sz w:val="22"/>
          <w:szCs w:val="22"/>
        </w:rPr>
        <w:t xml:space="preserve"> miesięcy od podpisania umowy</w:t>
      </w:r>
      <w:r w:rsidR="00CC3F89" w:rsidRPr="00B8136D">
        <w:rPr>
          <w:rFonts w:ascii="Calibri" w:eastAsia="Arial Unicode MS" w:hAnsi="Calibri" w:cs="Calibri"/>
          <w:sz w:val="22"/>
          <w:szCs w:val="22"/>
        </w:rPr>
        <w:t>.</w:t>
      </w:r>
      <w:r w:rsidR="00CC3F89" w:rsidRPr="00FA6A97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oferty. </w:t>
      </w:r>
      <w:r w:rsidR="00FA6A97">
        <w:rPr>
          <w:rFonts w:ascii="Calibri" w:eastAsia="Arial Unicode MS" w:hAnsi="Calibri" w:cs="Calibri"/>
          <w:sz w:val="22"/>
          <w:szCs w:val="22"/>
        </w:rPr>
        <w:t>(termin  miesięcy liczony jest od dnia podpisania umowy do dnia podpisania bezusterkowego protokołu odbioru końcowego oraz uzyskania pozwolenia na użytkowanie)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7AE250D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</w:p>
    <w:p w14:paraId="0ED01029" w14:textId="77777777" w:rsidR="0089703C" w:rsidRDefault="00CC3F89" w:rsidP="00686B9E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3B9BACD3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</w:t>
      </w:r>
      <w:bookmarkStart w:id="15" w:name="_GoBack"/>
      <w:bookmarkEnd w:id="15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3AB2DC8C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Rozdział 5. Termin realizacji zamówienia, warunki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realizacji robót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 oraz warunki płatności:</w:t>
      </w:r>
    </w:p>
    <w:p w14:paraId="118C6E17" w14:textId="579AA0D9" w:rsidR="0089703C" w:rsidRPr="00B8136D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 w:rsidRPr="00B8136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9C1953" w:rsidRPr="00B8136D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8</w:t>
      </w:r>
      <w:r w:rsidRPr="00B8136D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79B6CC73" w14:textId="208361BB" w:rsidR="00FA4159" w:rsidRDefault="00FA415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</w:t>
      </w:r>
      <w:r w:rsidR="00D7694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uwzględnieniem odbioru końcowego oraz uzyskania pozwolenia na użytkowanie. </w:t>
      </w:r>
    </w:p>
    <w:p w14:paraId="21D81CD2" w14:textId="6095EE7C" w:rsid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lastRenderedPageBreak/>
        <w:t xml:space="preserve">Miejsce </w:t>
      </w:r>
      <w:r w:rsidR="00D76947"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realizacji robót</w:t>
      </w: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Inwestycja zlokalizowana w Zamościu Bortatycze na działkach: 887, 889, 890, 891, 892, 893 obręb ewidencyjny 17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-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Siedliska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działkach nr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403/15, 403/16, 403/17, 403/18, 403/19 obręb ewidencyjny 28-Wysokie, gm. Zamość.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</w:p>
    <w:p w14:paraId="6A2E397B" w14:textId="570AC813" w:rsidR="0089703C" w:rsidRP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datę uzyskania pozwolenia na użytkowanie terenu objętego zakresem prac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Umowa zostanie </w:t>
      </w:r>
      <w:r w:rsidR="004D76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uznana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zrealizowaną po spełnieniu dwóch warunków łącznie, czyli podpisaniu 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="007E1FC8"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uzyskaniu pozwolenia na użytkowanie terenu. 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6B938EAD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7E1FC8">
        <w:rPr>
          <w:rFonts w:ascii="Calibri" w:hAnsi="Calibri" w:cs="Calibri"/>
          <w:sz w:val="22"/>
          <w:szCs w:val="22"/>
          <w:shd w:val="clear" w:color="auto" w:fill="FFFFFF"/>
        </w:rPr>
        <w:t>wraz z uzyskaniem pozwolenia na użytkowanie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i otrzymania prawidłowo wystawionej faktury VAT w kwocie odpowiadającej całkowitej wartości netto przedmiotu umowy 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16" w:name="_Hlk530731403"/>
      <w:bookmarkEnd w:id="16"/>
    </w:p>
    <w:p w14:paraId="296B43CB" w14:textId="180B3FB8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368CB44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</w:t>
      </w:r>
      <w:r w:rsidR="00C2050B">
        <w:rPr>
          <w:rFonts w:ascii="Calibri" w:eastAsia="Arial Unicode MS" w:hAnsi="Calibri" w:cs="Calibri"/>
          <w:sz w:val="22"/>
          <w:szCs w:val="22"/>
        </w:rPr>
        <w:t xml:space="preserve"> (3 miesiące)</w:t>
      </w:r>
      <w:r>
        <w:rPr>
          <w:rFonts w:ascii="Calibri" w:eastAsia="Arial Unicode MS" w:hAnsi="Calibri" w:cs="Calibri"/>
          <w:sz w:val="22"/>
          <w:szCs w:val="22"/>
        </w:rPr>
        <w:t xml:space="preserve"> i liczony jest od dnia, w którym upływa termin składania ofert w przedmiotowym postępowaniu.</w:t>
      </w:r>
    </w:p>
    <w:p w14:paraId="7A6B5D41" w14:textId="245BCA9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57652379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17" w:name="_Hlk534623748"/>
      <w:bookmarkEnd w:id="17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02F78019" w:rsidR="0089703C" w:rsidRPr="00A1123B" w:rsidRDefault="00CC3F89" w:rsidP="00A1123B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Formularz ofertowy złożony zgodnie z treścią Załącznika nr </w:t>
      </w:r>
      <w:r w:rsidR="000D3683" w:rsidRPr="00A1123B">
        <w:rPr>
          <w:rFonts w:ascii="Calibri" w:hAnsi="Calibri" w:cs="Calibri"/>
          <w:sz w:val="22"/>
          <w:szCs w:val="22"/>
          <w:shd w:val="clear" w:color="auto" w:fill="FFFFFF"/>
        </w:rPr>
        <w:t>3</w:t>
      </w:r>
      <w:r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do Zapytania ofertowego wraz z zawartymi w nim oświadczeniami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oraz kosztorys</w:t>
      </w:r>
      <w:r w:rsidR="00A1123B">
        <w:rPr>
          <w:rFonts w:ascii="Calibri" w:hAnsi="Calibri" w:cs="Calibri"/>
          <w:sz w:val="22"/>
          <w:szCs w:val="22"/>
          <w:shd w:val="clear" w:color="auto" w:fill="FFFFFF"/>
        </w:rPr>
        <w:t>em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ofertowy</w:t>
      </w:r>
      <w:r w:rsidR="00A1123B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sporządzony</w:t>
      </w:r>
      <w:r w:rsidR="00A1123B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="00A1123B" w:rsidRPr="00A1123B">
        <w:rPr>
          <w:rFonts w:ascii="Calibri" w:hAnsi="Calibri" w:cs="Calibri"/>
          <w:sz w:val="22"/>
          <w:szCs w:val="22"/>
          <w:shd w:val="clear" w:color="auto" w:fill="FFFFFF"/>
        </w:rPr>
        <w:t xml:space="preserve">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0168AA">
        <w:rPr>
          <w:rFonts w:ascii="Calibri" w:hAnsi="Calibri" w:cs="Calibri"/>
          <w:sz w:val="22"/>
          <w:szCs w:val="22"/>
          <w:shd w:val="clear" w:color="auto" w:fill="FFFFFF"/>
        </w:rPr>
        <w:t xml:space="preserve"> Kosztorys ofertowy powinien być sporządzony zgodnie z załączonym przedmiarem robót (Załącznik nr 1).</w:t>
      </w:r>
    </w:p>
    <w:p w14:paraId="0CEDB3A2" w14:textId="55658A15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 xml:space="preserve">Wypełnione zgodnie z wymaganiami Zamawiającego i podpisane przez osoby upoważnione do reprezentacji Wykonawcy oświadczenia, których wzory stanowią Załączniki nr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i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7C2A7B26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ust. 5 Zapytania ofertowego wraz z przedmiotem zamówienia. Wzór oświadczenia stanowi Załącznik nr </w:t>
      </w:r>
      <w:r w:rsidR="000D368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7E108F00" w14:textId="1D22CB99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</w:rPr>
        <w:t xml:space="preserve">dowody potwierdzające należyte wykonania </w:t>
      </w:r>
      <w:r w:rsidR="000D3683">
        <w:rPr>
          <w:rFonts w:ascii="Calibri" w:eastAsia="Arial Unicode MS" w:hAnsi="Calibri" w:cs="Calibri"/>
          <w:sz w:val="22"/>
          <w:szCs w:val="22"/>
        </w:rPr>
        <w:t>robót budowalnych</w:t>
      </w:r>
      <w:r>
        <w:rPr>
          <w:rFonts w:ascii="Calibri" w:eastAsia="Arial Unicode MS" w:hAnsi="Calibri" w:cs="Calibri"/>
          <w:sz w:val="22"/>
          <w:szCs w:val="22"/>
        </w:rPr>
        <w:t xml:space="preserve">, np. referencje od dwóch podmiotów  potwierdzające prawidłowe wykonanie </w:t>
      </w:r>
      <w:r w:rsidR="000D3683">
        <w:rPr>
          <w:rFonts w:ascii="Calibri" w:eastAsia="Arial Unicode MS" w:hAnsi="Calibri" w:cs="Calibri"/>
          <w:sz w:val="22"/>
          <w:szCs w:val="22"/>
        </w:rPr>
        <w:t>robót</w:t>
      </w:r>
      <w:r>
        <w:rPr>
          <w:rFonts w:ascii="Calibri" w:eastAsia="Arial Unicode MS" w:hAnsi="Calibri" w:cs="Calibri"/>
          <w:sz w:val="22"/>
          <w:szCs w:val="22"/>
        </w:rPr>
        <w:t>, o których mowa w Rozdziale 3 pkt 3) Zapytania ofertowego,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399667E9" w14:textId="5E46B86A" w:rsidR="009C1953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8" w:name="_Hlk534623816"/>
      <w:bookmarkEnd w:id="18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SA, ul. Włocławska 131, 87-100 Toruń w terminie do dnia </w:t>
      </w:r>
      <w:r w:rsidR="006736A2">
        <w:rPr>
          <w:rFonts w:ascii="Calibri" w:eastAsia="Arial Unicode MS" w:hAnsi="Calibri" w:cs="Calibri"/>
          <w:b/>
          <w:bCs/>
          <w:sz w:val="22"/>
          <w:szCs w:val="22"/>
        </w:rPr>
        <w:t>03</w:t>
      </w:r>
      <w:r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0D3683">
        <w:rPr>
          <w:rFonts w:ascii="Calibri" w:eastAsia="Arial Unicode MS" w:hAnsi="Calibri" w:cs="Calibri"/>
          <w:b/>
          <w:sz w:val="22"/>
          <w:szCs w:val="22"/>
        </w:rPr>
        <w:t>1</w:t>
      </w:r>
      <w:r w:rsidR="006736A2">
        <w:rPr>
          <w:rFonts w:ascii="Calibri" w:eastAsia="Arial Unicode MS" w:hAnsi="Calibri" w:cs="Calibri"/>
          <w:b/>
          <w:sz w:val="22"/>
          <w:szCs w:val="22"/>
        </w:rPr>
        <w:t>2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.2019 r. do godziny 9.00 na ww. adres.</w:t>
      </w:r>
    </w:p>
    <w:p w14:paraId="4C8122A1" w14:textId="20A37399" w:rsidR="0089703C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r w:rsidRPr="009C1953"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A1123B"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roboty budowlane - utwardzenie terminala na stacji kolejowej Zamość – Bortatycze</w:t>
      </w:r>
      <w:r w:rsidRPr="009C1953"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/2019/</w:t>
      </w:r>
      <w:proofErr w:type="spellStart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19" w:name="_Hlk531253380"/>
      <w:bookmarkEnd w:id="19"/>
    </w:p>
    <w:p w14:paraId="3C9D469C" w14:textId="3F6BA27E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6736A2">
        <w:rPr>
          <w:rFonts w:ascii="Calibri" w:eastAsia="Arial Unicode MS" w:hAnsi="Calibri" w:cs="Calibri"/>
          <w:b/>
          <w:sz w:val="22"/>
          <w:szCs w:val="22"/>
        </w:rPr>
        <w:t>03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</w:t>
      </w:r>
      <w:r w:rsidR="000D3683">
        <w:rPr>
          <w:rFonts w:ascii="Calibri" w:eastAsia="Arial Unicode MS" w:hAnsi="Calibri" w:cs="Calibri"/>
          <w:b/>
          <w:sz w:val="22"/>
          <w:szCs w:val="22"/>
        </w:rPr>
        <w:t>1</w:t>
      </w:r>
      <w:r w:rsidR="006736A2">
        <w:rPr>
          <w:rFonts w:ascii="Calibri" w:eastAsia="Arial Unicode MS" w:hAnsi="Calibri" w:cs="Calibri"/>
          <w:b/>
          <w:sz w:val="22"/>
          <w:szCs w:val="22"/>
        </w:rPr>
        <w:t>2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.2019 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9C7866" w:rsidRPr="009C7866">
        <w:rPr>
          <w:rFonts w:ascii="Calibri" w:eastAsia="Arial Unicode MS" w:hAnsi="Calibri" w:cs="Calibri"/>
          <w:i/>
          <w:iCs/>
          <w:sz w:val="22"/>
          <w:szCs w:val="22"/>
        </w:rPr>
        <w:t>Kinga Adamska-Dąbrowska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 – Dyrektor ds. Organizacyjnych, Adam Drozdowski – Kierownik ds. kredytów.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razie nieobecności któregokolwiek z nich zostanie zastąpiony przez Jacka Kowalczyka - Członka Zarządu lub Janusza Górskiego – </w:t>
      </w:r>
      <w:r w:rsidR="0026794E">
        <w:rPr>
          <w:rFonts w:ascii="Calibri" w:eastAsia="Arial Unicode MS" w:hAnsi="Calibri" w:cs="Calibri"/>
          <w:sz w:val="22"/>
          <w:szCs w:val="22"/>
        </w:rPr>
        <w:t>Wice</w:t>
      </w:r>
      <w:r>
        <w:rPr>
          <w:rFonts w:ascii="Calibri" w:eastAsia="Arial Unicode MS" w:hAnsi="Calibri" w:cs="Calibri"/>
          <w:sz w:val="22"/>
          <w:szCs w:val="22"/>
        </w:rPr>
        <w:t xml:space="preserve">prezesa Zarządu. Otwarcia i odczytania ofert dokona Adam Drozdowski – Kierownik ds. kredytów. Wykonawcy, którzy złożyli oferty mogą być obecni przy ich otwarciu. </w:t>
      </w:r>
    </w:p>
    <w:p w14:paraId="78AAA8F5" w14:textId="77777777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Konsekwencje złożenia oferty niezgodnie z w/w opisem (np. potraktowanie oferty jako zwykłej korespondencji i niedostarczenie jej na miejsce składania ofert po terminie określonym w Zapytaniu ofertowym) ponosi Wykonawca.</w:t>
      </w:r>
    </w:p>
    <w:p w14:paraId="4620BA7C" w14:textId="613C7B46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 Zamawiający wyznaczy Wykonawcy odpowiedni termin na uzupełnienie oferty ze wskazaniem jej braków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13888D4B" w14:textId="77777777" w:rsid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za realizacje całego przedmiotu zamówienia, a więc wszystkich robót budowlanych wraz z kosztami niezbędnymi do dokonania odbioru przedmiotu zamówienia. </w:t>
      </w:r>
    </w:p>
    <w:p w14:paraId="6CBF37C8" w14:textId="7B735B75" w:rsidR="0089703C" w:rsidRP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416DA3"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416DA3">
        <w:rPr>
          <w:rFonts w:ascii="Calibri" w:eastAsia="Times New Roman" w:hAnsi="Calibri" w:cs="Calibri"/>
          <w:sz w:val="22"/>
          <w:szCs w:val="22"/>
        </w:rPr>
        <w:t>do niniejszego Zapytania ofertowego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 oraz dodatkowo do oferty należy załączyć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kosztorys ofertowy 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sporządzony zgodnie z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Rozporządzenie</w:t>
      </w:r>
      <w:r w:rsidR="00720EC8" w:rsidRPr="00416DA3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416DA3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Kosztorys ofertowy powinien być sporządzony zgodnie z załączonym przedmiarem robót (Załącznik nr 1).</w:t>
      </w:r>
    </w:p>
    <w:p w14:paraId="7ECBE2EC" w14:textId="0877025A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</w:t>
      </w:r>
      <w:r w:rsidR="00720EC8">
        <w:rPr>
          <w:rFonts w:ascii="Calibri" w:eastAsia="Times New Roman" w:hAnsi="Calibri" w:cs="Calibri"/>
          <w:sz w:val="22"/>
          <w:szCs w:val="22"/>
        </w:rPr>
        <w:t>robót</w:t>
      </w:r>
      <w:r>
        <w:rPr>
          <w:rFonts w:ascii="Calibri" w:eastAsia="Times New Roman" w:hAnsi="Calibri" w:cs="Calibri"/>
          <w:sz w:val="22"/>
          <w:szCs w:val="22"/>
        </w:rPr>
        <w:t xml:space="preserve">, których </w:t>
      </w:r>
      <w:r w:rsidR="00720EC8">
        <w:rPr>
          <w:rFonts w:ascii="Calibri" w:eastAsia="Times New Roman" w:hAnsi="Calibri" w:cs="Calibri"/>
          <w:sz w:val="22"/>
          <w:szCs w:val="22"/>
        </w:rPr>
        <w:t>realizacja</w:t>
      </w:r>
      <w:r>
        <w:rPr>
          <w:rFonts w:ascii="Calibri" w:eastAsia="Times New Roman" w:hAnsi="Calibri" w:cs="Calibri"/>
          <w:sz w:val="22"/>
          <w:szCs w:val="22"/>
        </w:rPr>
        <w:t xml:space="preserve">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2428DD41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3B1EB1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518F11C6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4FF6FA37" w:rsidR="0089703C" w:rsidRDefault="00B94E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3C31472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94EF4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31515B28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94EF4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1345834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0" w:name="_Hlk3650070"/>
      <w:bookmarkEnd w:id="20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A1123B">
        <w:rPr>
          <w:rFonts w:ascii="Calibri" w:eastAsia="Arial Unicode MS" w:hAnsi="Calibri" w:cs="Calibri"/>
          <w:sz w:val="22"/>
          <w:szCs w:val="22"/>
          <w:shd w:val="clear" w:color="auto" w:fill="FFFFFF"/>
        </w:rPr>
        <w:t>i/lub uzyskania pozwolenia na użytkowanie (oba warunki są konieczne do uznania umowy za wykonaną)</w:t>
      </w:r>
      <w:r>
        <w:rPr>
          <w:rFonts w:ascii="Calibri" w:eastAsia="Arial Unicode MS" w:hAnsi="Calibri" w:cs="Calibri"/>
          <w:sz w:val="22"/>
          <w:szCs w:val="22"/>
        </w:rPr>
        <w:t xml:space="preserve"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 Formularzu ofertowym, stanowiącym Załącznik nr </w:t>
      </w:r>
      <w:r w:rsidR="00A1123B">
        <w:rPr>
          <w:rFonts w:ascii="Calibri" w:eastAsia="Arial Unicode MS" w:hAnsi="Calibri" w:cs="Calibri"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- 20 punktów: za najkrótszy termin wykonania zamówienia</w:t>
      </w:r>
    </w:p>
    <w:p w14:paraId="396EC2AF" w14:textId="652ABF20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- 0 punktów otrzymają oferty przewidujące okres </w:t>
      </w:r>
      <w:r w:rsidR="00E7269C">
        <w:rPr>
          <w:rFonts w:ascii="Calibri" w:eastAsia="Arial Unicode MS" w:hAnsi="Calibri" w:cs="Calibri"/>
          <w:sz w:val="22"/>
          <w:szCs w:val="22"/>
        </w:rPr>
        <w:t>realizacji prac</w:t>
      </w:r>
      <w:r>
        <w:rPr>
          <w:rFonts w:ascii="Calibri" w:eastAsia="Arial Unicode MS" w:hAnsi="Calibri" w:cs="Calibri"/>
          <w:sz w:val="22"/>
          <w:szCs w:val="22"/>
        </w:rPr>
        <w:t xml:space="preserve"> 8 miesięcy lub dłuższy</w:t>
      </w:r>
    </w:p>
    <w:p w14:paraId="692F938E" w14:textId="33F313DB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za każdy miesiąc krótszego niż 8 miesięcy terminu realizacji zamówienia przyznawane będzie 5 punktów, z zachowaniem maksymalnej sumy 20 punktów możliwych do uzyskania.</w:t>
      </w:r>
    </w:p>
    <w:p w14:paraId="7FC893B8" w14:textId="77777777" w:rsidR="00914B5A" w:rsidRDefault="00914B5A" w:rsidP="00914B5A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1" w:name="_Hlk534624041"/>
      <w:bookmarkStart w:id="22" w:name="_Hlk3655295"/>
      <w:bookmarkEnd w:id="21"/>
      <w:bookmarkEnd w:id="22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312307B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Załącznik nr </w:t>
      </w:r>
      <w:r w:rsidR="00717F88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do Zapytania ofertowego. </w:t>
      </w:r>
    </w:p>
    <w:p w14:paraId="4367B2F1" w14:textId="799A2D21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Sposób kontaktowania się z Zamawiającym: osobą uprawnioną do kontaktowania się z Wykonawcami jest Pan </w:t>
      </w:r>
      <w:r w:rsidR="004D7666" w:rsidRPr="004D7666">
        <w:rPr>
          <w:rFonts w:ascii="Calibri" w:eastAsia="Times New Roman" w:hAnsi="Calibri" w:cs="Calibri"/>
          <w:color w:val="000000"/>
          <w:sz w:val="22"/>
          <w:szCs w:val="22"/>
        </w:rPr>
        <w:t xml:space="preserve">Mieczysław Sędzikowski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550F55" w:rsidRPr="00550F55">
        <w:rPr>
          <w:rFonts w:ascii="Calibri" w:eastAsia="Times New Roman" w:hAnsi="Calibri" w:cs="Calibri"/>
          <w:color w:val="000000"/>
          <w:sz w:val="22"/>
          <w:szCs w:val="22"/>
        </w:rPr>
        <w:t>+48 502 854</w:t>
      </w:r>
      <w:r w:rsidR="00837170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550F55" w:rsidRPr="00550F55">
        <w:rPr>
          <w:rFonts w:ascii="Calibri" w:eastAsia="Times New Roman" w:hAnsi="Calibri" w:cs="Calibri"/>
          <w:color w:val="000000"/>
          <w:sz w:val="22"/>
          <w:szCs w:val="22"/>
        </w:rPr>
        <w:t>036</w:t>
      </w:r>
      <w:r w:rsidR="00837170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e-mail: </w:t>
      </w:r>
      <w:r w:rsidR="004D7666" w:rsidRPr="004D7666">
        <w:rPr>
          <w:rFonts w:ascii="Calibri" w:eastAsia="Times New Roman" w:hAnsi="Calibri" w:cs="Calibri"/>
          <w:color w:val="000000"/>
          <w:sz w:val="22"/>
          <w:szCs w:val="22"/>
        </w:rPr>
        <w:t>mieczyslaw.sedzikowski@atstorun.pl</w:t>
      </w:r>
    </w:p>
    <w:p w14:paraId="7C48A62F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zapytanie ofertowego oraz w bazie konkurencyjności. </w:t>
      </w:r>
    </w:p>
    <w:p w14:paraId="0A1C42B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7938918A" w14:textId="3DDE4B78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Załącznik nr </w:t>
      </w:r>
      <w:r w:rsidR="00717F8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3" w:name="_Hlk534624087"/>
      <w:bookmarkEnd w:id="23"/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Odwołania należy składać w formie pisemnie w języku polskim lub angielskim w terminie 30 dni kalendarzowych od otrzymania informacji o rozstrzygnięciu. Weryfikacja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odwołań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spółce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Laude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Smart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Intermodal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1D1EE3" w14:textId="77777777" w:rsid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1A13FBB0" w:rsidR="0089703C" w:rsidRP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0E0403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="000E0403" w:rsidRPr="000E0403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„Roboty budowlane w zakresie utwardzenia placów, utwardzenie terminala na stacji kolejowej Zamość – Bortatycze</w:t>
      </w:r>
      <w:r w:rsidR="008257B4" w:rsidRPr="000E0403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01/2019/</w:t>
      </w:r>
      <w:proofErr w:type="spellStart"/>
      <w:r w:rsidR="000E0403" w:rsidRPr="000E0403">
        <w:rPr>
          <w:rFonts w:ascii="Calibri" w:hAnsi="Calibri" w:cs="Calibri"/>
          <w:b/>
          <w:bCs/>
          <w:sz w:val="22"/>
          <w:szCs w:val="22"/>
        </w:rPr>
        <w:t>proj.A</w:t>
      </w:r>
      <w:proofErr w:type="spellEnd"/>
      <w:r w:rsidR="000E0403" w:rsidRPr="000E0403">
        <w:rPr>
          <w:rFonts w:ascii="Calibri" w:hAnsi="Calibri" w:cs="Calibri"/>
          <w:b/>
          <w:bCs/>
          <w:sz w:val="22"/>
          <w:szCs w:val="22"/>
        </w:rPr>
        <w:t>/3.2/POIS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77777777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29EA64A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14:paraId="202508B5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47CBC2A6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541E7B0C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załączników.;</w:t>
      </w:r>
    </w:p>
    <w:p w14:paraId="53103065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2C8CDB8D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CF82A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450883B4" w14:textId="7BC10D9C" w:rsidR="000E0403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1 </w:t>
      </w:r>
      <w:r w:rsidR="000E0403">
        <w:rPr>
          <w:rFonts w:ascii="Calibri" w:eastAsia="Arial Unicode MS" w:hAnsi="Calibri" w:cs="Calibri"/>
          <w:sz w:val="22"/>
          <w:szCs w:val="22"/>
        </w:rPr>
        <w:t>–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0E0403">
        <w:rPr>
          <w:rFonts w:ascii="Calibri" w:eastAsia="Arial Unicode MS" w:hAnsi="Calibri" w:cs="Calibri"/>
          <w:sz w:val="22"/>
          <w:szCs w:val="22"/>
        </w:rPr>
        <w:t>Przedmiar robót</w:t>
      </w:r>
    </w:p>
    <w:p w14:paraId="04E38EE6" w14:textId="77777777" w:rsidR="000E0403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– Pozwolenie na budowę wraz z mapką sytuacyjną terenu pod inwestycje</w:t>
      </w:r>
    </w:p>
    <w:p w14:paraId="206AD043" w14:textId="5480C697" w:rsidR="0089703C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3 – </w:t>
      </w:r>
      <w:r w:rsidR="00CC3F89">
        <w:rPr>
          <w:rFonts w:ascii="Calibri" w:eastAsia="Arial Unicode MS" w:hAnsi="Calibri" w:cs="Calibri"/>
          <w:sz w:val="22"/>
          <w:szCs w:val="22"/>
        </w:rPr>
        <w:t>Formularz ofertowy</w:t>
      </w:r>
    </w:p>
    <w:p w14:paraId="3CC469D7" w14:textId="6B4F83E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- Oświadczenie</w:t>
      </w:r>
    </w:p>
    <w:p w14:paraId="561D2C3B" w14:textId="6483B76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- Oświadczenie o dostarczeniu wymaganych dokumentów</w:t>
      </w:r>
    </w:p>
    <w:p w14:paraId="3836A615" w14:textId="2C1F510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- Wzór umowy</w:t>
      </w:r>
    </w:p>
    <w:p w14:paraId="238E3485" w14:textId="2B6F6363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7</w:t>
      </w:r>
      <w:r>
        <w:rPr>
          <w:rFonts w:ascii="Calibri" w:eastAsia="Arial Unicode MS" w:hAnsi="Calibri" w:cs="Calibri"/>
          <w:sz w:val="22"/>
          <w:szCs w:val="22"/>
        </w:rPr>
        <w:t xml:space="preserve"> - Oświadczenie dotyczące przetwarzania danych osobowych</w:t>
      </w:r>
      <w:r w:rsidR="008257B4">
        <w:rPr>
          <w:rFonts w:ascii="Calibri" w:eastAsia="Arial Unicode MS" w:hAnsi="Calibri" w:cs="Calibri"/>
          <w:sz w:val="22"/>
          <w:szCs w:val="22"/>
        </w:rPr>
        <w:t>.</w:t>
      </w:r>
    </w:p>
    <w:p w14:paraId="2181915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B88DC42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4" w:name="_Hlk534626503"/>
      <w:bookmarkEnd w:id="24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D40D" w14:textId="77777777" w:rsidR="00DF33A5" w:rsidRDefault="00DF33A5">
      <w:r>
        <w:separator/>
      </w:r>
    </w:p>
  </w:endnote>
  <w:endnote w:type="continuationSeparator" w:id="0">
    <w:p w14:paraId="1395CB66" w14:textId="77777777" w:rsidR="00DF33A5" w:rsidRDefault="00DF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9522" w14:textId="77777777" w:rsidR="00DF33A5" w:rsidRDefault="00DF33A5">
      <w:r>
        <w:separator/>
      </w:r>
    </w:p>
  </w:footnote>
  <w:footnote w:type="continuationSeparator" w:id="0">
    <w:p w14:paraId="0FCC8F1D" w14:textId="77777777" w:rsidR="00DF33A5" w:rsidRDefault="00DF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5439" w14:textId="77777777" w:rsidR="0089703C" w:rsidRDefault="00CC3F89">
    <w:pPr>
      <w:pStyle w:val="Nagwek"/>
    </w:pPr>
    <w:r>
      <w:rPr>
        <w:noProof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48D6A58A"/>
    <w:name w:val="Bullet 3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453E35"/>
    <w:multiLevelType w:val="singleLevel"/>
    <w:tmpl w:val="5D02A564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1D4A66C1"/>
    <w:multiLevelType w:val="singleLevel"/>
    <w:tmpl w:val="789A4C6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E90C2C7E"/>
    <w:name w:val="Numbered list 41"/>
    <w:lvl w:ilvl="0" w:tplc="4AEE18F8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606246C"/>
    <w:multiLevelType w:val="singleLevel"/>
    <w:tmpl w:val="75E8D518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Calibri"/>
        <w:b w:val="0"/>
        <w:bCs/>
      </w:rPr>
    </w:lvl>
  </w:abstractNum>
  <w:abstractNum w:abstractNumId="13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24D24B0"/>
    <w:multiLevelType w:val="hybridMultilevel"/>
    <w:tmpl w:val="802CBBCC"/>
    <w:name w:val="Numbered list 9"/>
    <w:lvl w:ilvl="0" w:tplc="291C6BD6">
      <w:start w:val="1"/>
      <w:numFmt w:val="decimal"/>
      <w:lvlText w:val="%1."/>
      <w:lvlJc w:val="left"/>
      <w:pPr>
        <w:ind w:left="360" w:firstLine="0"/>
      </w:p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5F40702C"/>
    <w:multiLevelType w:val="hybridMultilevel"/>
    <w:tmpl w:val="507E8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18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19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0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AD460FD"/>
    <w:multiLevelType w:val="singleLevel"/>
    <w:tmpl w:val="15DAA898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</w:abstractNum>
  <w:abstractNum w:abstractNumId="22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3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5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21"/>
  </w:num>
  <w:num w:numId="5">
    <w:abstractNumId w:val="11"/>
  </w:num>
  <w:num w:numId="6">
    <w:abstractNumId w:val="7"/>
  </w:num>
  <w:num w:numId="7">
    <w:abstractNumId w:val="0"/>
  </w:num>
  <w:num w:numId="8">
    <w:abstractNumId w:val="19"/>
  </w:num>
  <w:num w:numId="9">
    <w:abstractNumId w:val="22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24"/>
  </w:num>
  <w:num w:numId="24">
    <w:abstractNumId w:val="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03C"/>
    <w:rsid w:val="00010891"/>
    <w:rsid w:val="000168AA"/>
    <w:rsid w:val="00094558"/>
    <w:rsid w:val="00095B20"/>
    <w:rsid w:val="000A3117"/>
    <w:rsid w:val="000C6C17"/>
    <w:rsid w:val="000D258E"/>
    <w:rsid w:val="000D3683"/>
    <w:rsid w:val="000D6EE5"/>
    <w:rsid w:val="000E0403"/>
    <w:rsid w:val="000E4DFF"/>
    <w:rsid w:val="001024FF"/>
    <w:rsid w:val="00122824"/>
    <w:rsid w:val="001508AF"/>
    <w:rsid w:val="001540E9"/>
    <w:rsid w:val="00187BC4"/>
    <w:rsid w:val="001A1BA4"/>
    <w:rsid w:val="001C594E"/>
    <w:rsid w:val="001E5F5E"/>
    <w:rsid w:val="001F0B92"/>
    <w:rsid w:val="00237D8F"/>
    <w:rsid w:val="0026794E"/>
    <w:rsid w:val="00382DEB"/>
    <w:rsid w:val="003B1EB1"/>
    <w:rsid w:val="00416DA3"/>
    <w:rsid w:val="00474B07"/>
    <w:rsid w:val="0049258C"/>
    <w:rsid w:val="004A6BF6"/>
    <w:rsid w:val="004B024C"/>
    <w:rsid w:val="004D1592"/>
    <w:rsid w:val="004D366A"/>
    <w:rsid w:val="004D7666"/>
    <w:rsid w:val="00521F03"/>
    <w:rsid w:val="00524322"/>
    <w:rsid w:val="005357D2"/>
    <w:rsid w:val="00550F55"/>
    <w:rsid w:val="00565EAC"/>
    <w:rsid w:val="005777CA"/>
    <w:rsid w:val="00592D0B"/>
    <w:rsid w:val="005D416E"/>
    <w:rsid w:val="005F7B33"/>
    <w:rsid w:val="0065700B"/>
    <w:rsid w:val="006736A2"/>
    <w:rsid w:val="0068331D"/>
    <w:rsid w:val="00686B9E"/>
    <w:rsid w:val="006A0DB0"/>
    <w:rsid w:val="006B78A9"/>
    <w:rsid w:val="006E09A3"/>
    <w:rsid w:val="0071168B"/>
    <w:rsid w:val="00717F88"/>
    <w:rsid w:val="00720EC8"/>
    <w:rsid w:val="007457C4"/>
    <w:rsid w:val="007E180A"/>
    <w:rsid w:val="007E1FC8"/>
    <w:rsid w:val="00812E7C"/>
    <w:rsid w:val="00822A4B"/>
    <w:rsid w:val="008257B4"/>
    <w:rsid w:val="00837170"/>
    <w:rsid w:val="0089703C"/>
    <w:rsid w:val="008D6229"/>
    <w:rsid w:val="008F17CE"/>
    <w:rsid w:val="00914B5A"/>
    <w:rsid w:val="009813F9"/>
    <w:rsid w:val="009B68E6"/>
    <w:rsid w:val="009B7B96"/>
    <w:rsid w:val="009C1953"/>
    <w:rsid w:val="009C7866"/>
    <w:rsid w:val="009C7AAF"/>
    <w:rsid w:val="00A1123B"/>
    <w:rsid w:val="00A44FDF"/>
    <w:rsid w:val="00A55C23"/>
    <w:rsid w:val="00A75C98"/>
    <w:rsid w:val="00AA36E4"/>
    <w:rsid w:val="00AB6791"/>
    <w:rsid w:val="00AE51A3"/>
    <w:rsid w:val="00B12819"/>
    <w:rsid w:val="00B340DD"/>
    <w:rsid w:val="00B35E92"/>
    <w:rsid w:val="00B6519C"/>
    <w:rsid w:val="00B8136D"/>
    <w:rsid w:val="00B82CAD"/>
    <w:rsid w:val="00B94EF4"/>
    <w:rsid w:val="00B95D20"/>
    <w:rsid w:val="00BD1245"/>
    <w:rsid w:val="00C2050B"/>
    <w:rsid w:val="00C22CB7"/>
    <w:rsid w:val="00C53A21"/>
    <w:rsid w:val="00CB0601"/>
    <w:rsid w:val="00CB6C53"/>
    <w:rsid w:val="00CB73AB"/>
    <w:rsid w:val="00CC061D"/>
    <w:rsid w:val="00CC3F89"/>
    <w:rsid w:val="00CE16E8"/>
    <w:rsid w:val="00D76947"/>
    <w:rsid w:val="00DD16ED"/>
    <w:rsid w:val="00DD3E47"/>
    <w:rsid w:val="00DE63F1"/>
    <w:rsid w:val="00DF33A5"/>
    <w:rsid w:val="00DF6F95"/>
    <w:rsid w:val="00E407BD"/>
    <w:rsid w:val="00E7269C"/>
    <w:rsid w:val="00EA0F5E"/>
    <w:rsid w:val="00EF06BA"/>
    <w:rsid w:val="00F02F39"/>
    <w:rsid w:val="00F82009"/>
    <w:rsid w:val="00FA4159"/>
    <w:rsid w:val="00FA6A97"/>
    <w:rsid w:val="00FF58B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769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6947"/>
  </w:style>
  <w:style w:type="character" w:styleId="Odwoanieprzypisukocowego">
    <w:name w:val="endnote reference"/>
    <w:basedOn w:val="Domylnaczcionkaakapitu"/>
    <w:uiPriority w:val="99"/>
    <w:rsid w:val="00D7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12</Pages>
  <Words>4834</Words>
  <Characters>29009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75</cp:revision>
  <cp:lastPrinted>2019-02-13T20:09:00Z</cp:lastPrinted>
  <dcterms:created xsi:type="dcterms:W3CDTF">2019-07-30T13:45:00Z</dcterms:created>
  <dcterms:modified xsi:type="dcterms:W3CDTF">2019-10-29T13:05:00Z</dcterms:modified>
</cp:coreProperties>
</file>